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AE5C1" w14:textId="7C539DBB" w:rsidR="00201646" w:rsidRPr="006E7511" w:rsidRDefault="00201646" w:rsidP="00DF2D7C">
      <w:pPr>
        <w:jc w:val="both"/>
        <w:rPr>
          <w:b/>
          <w:sz w:val="48"/>
          <w:u w:val="single"/>
        </w:rPr>
      </w:pPr>
    </w:p>
    <w:p w14:paraId="0CED03D8" w14:textId="7B139E00" w:rsidR="00385C28" w:rsidRPr="00EE4EC0" w:rsidRDefault="004101CF" w:rsidP="00DF2D7C">
      <w:pPr>
        <w:jc w:val="both"/>
        <w:rPr>
          <w:b/>
          <w:sz w:val="48"/>
          <w:u w:val="single"/>
          <w:lang w:val="mk-MK"/>
        </w:rPr>
      </w:pPr>
      <w:r>
        <w:rPr>
          <w:b/>
          <w:sz w:val="48"/>
          <w:u w:val="single"/>
          <w:lang w:val="mk-MK"/>
        </w:rPr>
        <w:t>Административни и ф</w:t>
      </w:r>
      <w:r w:rsidR="00EE4EC0" w:rsidRPr="00EE4EC0">
        <w:rPr>
          <w:b/>
          <w:sz w:val="48"/>
          <w:u w:val="single"/>
          <w:lang w:val="mk-MK"/>
        </w:rPr>
        <w:t xml:space="preserve">инансиски процедури </w:t>
      </w:r>
      <w:r w:rsidR="00FA255D">
        <w:rPr>
          <w:b/>
          <w:sz w:val="48"/>
          <w:u w:val="single"/>
          <w:lang w:val="mk-MK"/>
        </w:rPr>
        <w:t>при подготвување и имплементација на проекти</w:t>
      </w:r>
    </w:p>
    <w:p w14:paraId="7BB92A24" w14:textId="77777777" w:rsidR="00EE4EC0" w:rsidRDefault="00EE4EC0" w:rsidP="00DF2D7C">
      <w:pPr>
        <w:jc w:val="both"/>
        <w:rPr>
          <w:lang w:val="mk-MK"/>
        </w:rPr>
      </w:pPr>
    </w:p>
    <w:p w14:paraId="09929B85" w14:textId="77777777" w:rsidR="00EE4EC0" w:rsidRPr="00FA255D" w:rsidRDefault="004101CF" w:rsidP="00DF2D7C">
      <w:pPr>
        <w:jc w:val="both"/>
        <w:rPr>
          <w:b/>
          <w:sz w:val="28"/>
          <w:u w:val="single"/>
          <w:lang w:val="mk-MK"/>
        </w:rPr>
      </w:pPr>
      <w:r w:rsidRPr="00FA255D">
        <w:rPr>
          <w:b/>
          <w:sz w:val="28"/>
          <w:u w:val="single"/>
          <w:lang w:val="mk-MK"/>
        </w:rPr>
        <w:t>Договори и анекси</w:t>
      </w:r>
    </w:p>
    <w:p w14:paraId="5864FB48" w14:textId="77777777" w:rsidR="00EE4EC0" w:rsidRDefault="00EE4EC0" w:rsidP="00DF2D7C">
      <w:pPr>
        <w:pStyle w:val="ListParagraph"/>
        <w:numPr>
          <w:ilvl w:val="0"/>
          <w:numId w:val="2"/>
        </w:numPr>
        <w:ind w:left="360"/>
        <w:jc w:val="both"/>
        <w:rPr>
          <w:lang w:val="mk-MK"/>
        </w:rPr>
      </w:pPr>
      <w:r w:rsidRPr="00411444">
        <w:rPr>
          <w:lang w:val="mk-MK"/>
        </w:rPr>
        <w:t xml:space="preserve">Сите договори и анекси со корисниците на грантови, треба да бидат потпишани на секоја страна од </w:t>
      </w:r>
      <w:r w:rsidR="00201646" w:rsidRPr="00411444">
        <w:rPr>
          <w:lang w:val="mk-MK"/>
        </w:rPr>
        <w:t>овластените лица од двете организации.</w:t>
      </w:r>
    </w:p>
    <w:p w14:paraId="3508DB50" w14:textId="79154BFB" w:rsidR="004101CF" w:rsidRPr="00FA255D" w:rsidRDefault="004101CF" w:rsidP="00DF2D7C">
      <w:pPr>
        <w:jc w:val="both"/>
        <w:rPr>
          <w:b/>
          <w:sz w:val="28"/>
          <w:u w:val="single"/>
          <w:lang w:val="mk-MK"/>
        </w:rPr>
      </w:pPr>
      <w:r w:rsidRPr="00FA255D">
        <w:rPr>
          <w:b/>
          <w:sz w:val="28"/>
          <w:u w:val="single"/>
          <w:lang w:val="mk-MK"/>
        </w:rPr>
        <w:t>Максимален износ на средства</w:t>
      </w:r>
      <w:r w:rsidR="00FA255D" w:rsidRPr="00FA255D">
        <w:rPr>
          <w:b/>
          <w:sz w:val="28"/>
          <w:u w:val="single"/>
          <w:lang w:val="mk-MK"/>
        </w:rPr>
        <w:t xml:space="preserve"> за персонал</w:t>
      </w:r>
      <w:r w:rsidR="000223FB">
        <w:rPr>
          <w:b/>
          <w:sz w:val="28"/>
          <w:u w:val="single"/>
          <w:lang w:val="mk-MK"/>
        </w:rPr>
        <w:t xml:space="preserve"> и оперативни трошоци</w:t>
      </w:r>
    </w:p>
    <w:p w14:paraId="355163F4" w14:textId="2C19FEE0" w:rsidR="00411444" w:rsidRDefault="00411444" w:rsidP="00DF2D7C">
      <w:pPr>
        <w:pStyle w:val="ListParagraph"/>
        <w:numPr>
          <w:ilvl w:val="0"/>
          <w:numId w:val="2"/>
        </w:numPr>
        <w:ind w:left="360"/>
        <w:jc w:val="both"/>
        <w:rPr>
          <w:lang w:val="mk-MK"/>
        </w:rPr>
      </w:pPr>
      <w:r>
        <w:rPr>
          <w:lang w:val="mk-MK"/>
        </w:rPr>
        <w:t xml:space="preserve">Максималната сума </w:t>
      </w:r>
      <w:r w:rsidR="00FA255D">
        <w:rPr>
          <w:lang w:val="mk-MK"/>
        </w:rPr>
        <w:t>за проектен персонал</w:t>
      </w:r>
      <w:r w:rsidR="000223FB">
        <w:rPr>
          <w:lang w:val="mk-MK"/>
        </w:rPr>
        <w:t xml:space="preserve"> и оперативни трошоци</w:t>
      </w:r>
      <w:r w:rsidR="00FA255D">
        <w:rPr>
          <w:lang w:val="mk-MK"/>
        </w:rPr>
        <w:t xml:space="preserve"> </w:t>
      </w:r>
      <w:r>
        <w:rPr>
          <w:lang w:val="mk-MK"/>
        </w:rPr>
        <w:t xml:space="preserve">која </w:t>
      </w:r>
      <w:r w:rsidR="000223FB">
        <w:rPr>
          <w:lang w:val="mk-MK"/>
        </w:rPr>
        <w:t xml:space="preserve">е дозволено да биде </w:t>
      </w:r>
      <w:r>
        <w:rPr>
          <w:lang w:val="mk-MK"/>
        </w:rPr>
        <w:t xml:space="preserve"> да биде предвидена</w:t>
      </w:r>
      <w:r w:rsidR="00FA255D" w:rsidRPr="00FA255D">
        <w:rPr>
          <w:lang w:val="mk-MK"/>
        </w:rPr>
        <w:t xml:space="preserve"> </w:t>
      </w:r>
      <w:r w:rsidR="00FA255D">
        <w:rPr>
          <w:lang w:val="mk-MK"/>
        </w:rPr>
        <w:t>во проектната апликација</w:t>
      </w:r>
      <w:r>
        <w:rPr>
          <w:lang w:val="mk-MK"/>
        </w:rPr>
        <w:t xml:space="preserve">, </w:t>
      </w:r>
      <w:r w:rsidR="00FA255D">
        <w:rPr>
          <w:lang w:val="mk-MK"/>
        </w:rPr>
        <w:t>треба</w:t>
      </w:r>
      <w:r>
        <w:rPr>
          <w:lang w:val="mk-MK"/>
        </w:rPr>
        <w:t xml:space="preserve"> да изнесува </w:t>
      </w:r>
      <w:r w:rsidR="00FA255D">
        <w:rPr>
          <w:lang w:val="mk-MK"/>
        </w:rPr>
        <w:t xml:space="preserve">не </w:t>
      </w:r>
      <w:r>
        <w:rPr>
          <w:lang w:val="mk-MK"/>
        </w:rPr>
        <w:t xml:space="preserve">повеќе од </w:t>
      </w:r>
      <w:r w:rsidR="00FA255D">
        <w:rPr>
          <w:lang w:val="mk-MK"/>
        </w:rPr>
        <w:t>40</w:t>
      </w:r>
      <w:r>
        <w:rPr>
          <w:lang w:val="mk-MK"/>
        </w:rPr>
        <w:t>% од вкупната сума на проектот.</w:t>
      </w:r>
    </w:p>
    <w:p w14:paraId="28E777FF" w14:textId="2A366A9D" w:rsidR="00893BC3" w:rsidRDefault="00893BC3" w:rsidP="00893BC3">
      <w:pPr>
        <w:jc w:val="both"/>
        <w:rPr>
          <w:b/>
          <w:sz w:val="28"/>
          <w:u w:val="single"/>
          <w:lang w:val="mk-MK"/>
        </w:rPr>
      </w:pPr>
      <w:r>
        <w:rPr>
          <w:b/>
          <w:sz w:val="28"/>
          <w:u w:val="single"/>
          <w:lang w:val="mk-MK"/>
        </w:rPr>
        <w:t>Максимален износ на средства за патни трошоци</w:t>
      </w:r>
    </w:p>
    <w:p w14:paraId="2D6C6C3F" w14:textId="10A1C6BB" w:rsidR="00893BC3" w:rsidRDefault="00893BC3" w:rsidP="00893BC3">
      <w:pPr>
        <w:pStyle w:val="ListParagraph"/>
        <w:numPr>
          <w:ilvl w:val="0"/>
          <w:numId w:val="2"/>
        </w:numPr>
        <w:ind w:left="360"/>
        <w:jc w:val="both"/>
        <w:rPr>
          <w:lang w:val="mk-MK"/>
        </w:rPr>
      </w:pPr>
      <w:r>
        <w:rPr>
          <w:lang w:val="mk-MK"/>
        </w:rPr>
        <w:t>Максималниот износ кој може да биде предвиден за покривање на патни трошоци (и за проектен персонал и за учесници на обуки) изнесува 10.00 МКД по километар. За проектниот персонал средствата мора да бидат исплатени со вклучен персонален данок, додека за учесници на обуки исплаќањето може да се изврши диркетно на трансакциска сметка без персонален данок вклучено.</w:t>
      </w:r>
    </w:p>
    <w:p w14:paraId="2951B5F3" w14:textId="345929A2" w:rsidR="005F13A4" w:rsidRDefault="005F13A4" w:rsidP="005F13A4">
      <w:pPr>
        <w:pStyle w:val="ListParagraph"/>
        <w:ind w:left="360"/>
        <w:jc w:val="both"/>
        <w:rPr>
          <w:lang w:val="mk-MK"/>
        </w:rPr>
      </w:pPr>
    </w:p>
    <w:p w14:paraId="58789C1A" w14:textId="3E0CE6C1" w:rsidR="00893BC3" w:rsidRPr="00893BC3" w:rsidRDefault="00893BC3" w:rsidP="00893BC3">
      <w:pPr>
        <w:jc w:val="both"/>
        <w:rPr>
          <w:lang w:val="mk-MK"/>
        </w:rPr>
      </w:pPr>
      <w:r w:rsidRPr="00893BC3">
        <w:rPr>
          <w:color w:val="FF0000"/>
          <w:lang w:val="mk-MK"/>
        </w:rPr>
        <w:t xml:space="preserve">*Напомена </w:t>
      </w:r>
      <w:r w:rsidRPr="00893BC3">
        <w:rPr>
          <w:lang w:val="mk-MK"/>
        </w:rPr>
        <w:t xml:space="preserve">– </w:t>
      </w:r>
      <w:r>
        <w:rPr>
          <w:lang w:val="mk-MK"/>
        </w:rPr>
        <w:t xml:space="preserve">За проектниот персонал според Управата за јавни приходи, патните трошоци мора да бидат исплатени преку Е-Персонален данок вклучувајќи ја </w:t>
      </w:r>
      <w:r w:rsidRPr="00893BC3">
        <w:rPr>
          <w:lang w:val="mk-MK"/>
        </w:rPr>
        <w:t xml:space="preserve"> </w:t>
      </w:r>
      <w:r>
        <w:rPr>
          <w:lang w:val="mk-MK"/>
        </w:rPr>
        <w:t>сумата за персонален данок според наредните пресметки</w:t>
      </w:r>
      <w:r w:rsidRPr="00893BC3">
        <w:rPr>
          <w:lang w:val="mk-MK"/>
        </w:rPr>
        <w:t xml:space="preserve">: </w:t>
      </w:r>
      <w:r w:rsidRPr="00893BC3">
        <w:rPr>
          <w:lang w:val="ru-RU"/>
        </w:rPr>
        <w:t xml:space="preserve">Во пресметката се искажува Друг доход Т11 и Подвид на доход </w:t>
      </w:r>
      <w:r w:rsidRPr="00893BC3">
        <w:t>S</w:t>
      </w:r>
      <w:r w:rsidRPr="00893BC3">
        <w:rPr>
          <w:lang w:val="ru-RU"/>
        </w:rPr>
        <w:t>11.3 Друг доход.</w:t>
      </w:r>
    </w:p>
    <w:p w14:paraId="032DD71B" w14:textId="77777777" w:rsidR="005F13A4" w:rsidRDefault="005F13A4" w:rsidP="005F13A4">
      <w:pPr>
        <w:jc w:val="both"/>
        <w:rPr>
          <w:b/>
          <w:sz w:val="28"/>
          <w:u w:val="single"/>
          <w:lang w:val="mk-MK"/>
        </w:rPr>
      </w:pPr>
      <w:r>
        <w:rPr>
          <w:b/>
          <w:sz w:val="28"/>
          <w:u w:val="single"/>
          <w:lang w:val="mk-MK"/>
        </w:rPr>
        <w:t>Максимален износ на средства за патни трошоци</w:t>
      </w:r>
    </w:p>
    <w:p w14:paraId="57A40757" w14:textId="49B560E8" w:rsidR="005F13A4" w:rsidRDefault="005F13A4" w:rsidP="005F13A4">
      <w:pPr>
        <w:pStyle w:val="ListParagraph"/>
        <w:numPr>
          <w:ilvl w:val="0"/>
          <w:numId w:val="2"/>
        </w:numPr>
        <w:ind w:left="360"/>
        <w:jc w:val="both"/>
        <w:rPr>
          <w:lang w:val="mk-MK"/>
        </w:rPr>
      </w:pPr>
      <w:r>
        <w:rPr>
          <w:lang w:val="mk-MK"/>
        </w:rPr>
        <w:t>Плаќања во готово не се дозволени. Доколку не постои друга опција за плаќање, во договор со Мрежата ќе може да се настави отстапка, но при известувањето на тие трошоци ќе треба да се следат сите процедури по Меѓународните сметководствени стандарди (благајнички извештај, каса прими, каса исплати и сл.).</w:t>
      </w:r>
    </w:p>
    <w:p w14:paraId="4E537354" w14:textId="77777777" w:rsidR="005F13A4" w:rsidRPr="005F13A4" w:rsidRDefault="005F13A4" w:rsidP="005F13A4">
      <w:pPr>
        <w:jc w:val="both"/>
        <w:rPr>
          <w:lang w:val="mk-MK"/>
        </w:rPr>
      </w:pPr>
    </w:p>
    <w:p w14:paraId="04A4C37C" w14:textId="09DA34AA" w:rsidR="00893BC3" w:rsidRPr="005F13A4" w:rsidRDefault="00893BC3" w:rsidP="00893BC3">
      <w:pPr>
        <w:jc w:val="both"/>
        <w:rPr>
          <w:lang w:val="mk-MK"/>
        </w:rPr>
      </w:pPr>
    </w:p>
    <w:p w14:paraId="0E745917" w14:textId="77777777" w:rsidR="004101CF" w:rsidRPr="00FA255D" w:rsidRDefault="004101CF" w:rsidP="00DF2D7C">
      <w:pPr>
        <w:jc w:val="both"/>
        <w:rPr>
          <w:b/>
          <w:sz w:val="28"/>
          <w:u w:val="single"/>
          <w:lang w:val="mk-MK"/>
        </w:rPr>
      </w:pPr>
      <w:r w:rsidRPr="00FA255D">
        <w:rPr>
          <w:b/>
          <w:sz w:val="28"/>
          <w:u w:val="single"/>
          <w:lang w:val="mk-MK"/>
        </w:rPr>
        <w:lastRenderedPageBreak/>
        <w:t>Прагови на донаторот</w:t>
      </w:r>
    </w:p>
    <w:p w14:paraId="208A8BD8" w14:textId="4B4FC364" w:rsidR="0075321D" w:rsidRPr="00411444" w:rsidRDefault="0075321D" w:rsidP="00DF2D7C">
      <w:pPr>
        <w:pStyle w:val="ListParagraph"/>
        <w:numPr>
          <w:ilvl w:val="0"/>
          <w:numId w:val="2"/>
        </w:numPr>
        <w:ind w:left="360"/>
        <w:jc w:val="both"/>
        <w:rPr>
          <w:lang w:val="mk-MK"/>
        </w:rPr>
      </w:pPr>
      <w:r w:rsidRPr="00411444">
        <w:rPr>
          <w:lang w:val="mk-MK"/>
        </w:rPr>
        <w:t>Во имплемента</w:t>
      </w:r>
      <w:r w:rsidR="00FA255D">
        <w:rPr>
          <w:lang w:val="mk-MK"/>
        </w:rPr>
        <w:t>цијата на проектот мора да биде следен</w:t>
      </w:r>
      <w:r w:rsidRPr="00411444">
        <w:rPr>
          <w:lang w:val="mk-MK"/>
        </w:rPr>
        <w:t xml:space="preserve"> </w:t>
      </w:r>
      <w:r w:rsidR="00FA255D">
        <w:rPr>
          <w:lang w:val="mk-MK"/>
        </w:rPr>
        <w:t>лимитот за набавки,</w:t>
      </w:r>
      <w:r w:rsidRPr="00411444">
        <w:rPr>
          <w:lang w:val="mk-MK"/>
        </w:rPr>
        <w:t xml:space="preserve"> ко</w:t>
      </w:r>
      <w:r w:rsidR="00FA255D">
        <w:rPr>
          <w:lang w:val="mk-MK"/>
        </w:rPr>
        <w:t>ј е определен</w:t>
      </w:r>
      <w:r w:rsidRPr="00411444">
        <w:rPr>
          <w:lang w:val="mk-MK"/>
        </w:rPr>
        <w:t xml:space="preserve"> од донаторот (</w:t>
      </w:r>
      <w:r>
        <w:t>We</w:t>
      </w:r>
      <w:r w:rsidRPr="00411444">
        <w:rPr>
          <w:lang w:val="ru-RU"/>
        </w:rPr>
        <w:t xml:space="preserve"> </w:t>
      </w:r>
      <w:r>
        <w:t>Effect</w:t>
      </w:r>
      <w:r w:rsidRPr="00411444">
        <w:rPr>
          <w:lang w:val="ru-RU"/>
        </w:rPr>
        <w:t xml:space="preserve">), </w:t>
      </w:r>
      <w:r w:rsidR="00FA255D">
        <w:rPr>
          <w:lang w:val="mk-MK"/>
        </w:rPr>
        <w:t>даден</w:t>
      </w:r>
      <w:r w:rsidRPr="00411444">
        <w:rPr>
          <w:lang w:val="mk-MK"/>
        </w:rPr>
        <w:t xml:space="preserve"> во табелата во продолжение:</w:t>
      </w:r>
    </w:p>
    <w:tbl>
      <w:tblPr>
        <w:tblStyle w:val="TableGrid"/>
        <w:tblW w:w="9090" w:type="dxa"/>
        <w:tblInd w:w="355" w:type="dxa"/>
        <w:tblLook w:val="04A0" w:firstRow="1" w:lastRow="0" w:firstColumn="1" w:lastColumn="0" w:noHBand="0" w:noVBand="1"/>
      </w:tblPr>
      <w:tblGrid>
        <w:gridCol w:w="4410"/>
        <w:gridCol w:w="4680"/>
      </w:tblGrid>
      <w:tr w:rsidR="00411444" w14:paraId="4F1227CA" w14:textId="77777777" w:rsidTr="00411444">
        <w:tc>
          <w:tcPr>
            <w:tcW w:w="4410" w:type="dxa"/>
          </w:tcPr>
          <w:p w14:paraId="7E2391B1" w14:textId="5E4BF656" w:rsidR="00411444" w:rsidRPr="00411444" w:rsidRDefault="00411444" w:rsidP="00FA255D">
            <w:pPr>
              <w:jc w:val="both"/>
              <w:rPr>
                <w:lang w:val="mk-MK"/>
              </w:rPr>
            </w:pPr>
            <w:r w:rsidRPr="00411444">
              <w:rPr>
                <w:lang w:val="mk-MK"/>
              </w:rPr>
              <w:t>Одбирање на понуда</w:t>
            </w:r>
            <w:r w:rsidR="00FA255D">
              <w:rPr>
                <w:lang w:val="mk-MK"/>
              </w:rPr>
              <w:t xml:space="preserve"> без повеќе добавувач</w:t>
            </w:r>
            <w:r w:rsidR="00FF6E2B">
              <w:rPr>
                <w:lang w:val="mk-MK"/>
              </w:rPr>
              <w:t>и</w:t>
            </w:r>
          </w:p>
        </w:tc>
        <w:tc>
          <w:tcPr>
            <w:tcW w:w="4680" w:type="dxa"/>
          </w:tcPr>
          <w:p w14:paraId="3599244B" w14:textId="77777777" w:rsidR="00411444" w:rsidRPr="00411444" w:rsidRDefault="00411444" w:rsidP="00DF2D7C">
            <w:pPr>
              <w:jc w:val="both"/>
              <w:rPr>
                <w:lang w:val="mk-MK"/>
              </w:rPr>
            </w:pPr>
            <w:r w:rsidRPr="00411444">
              <w:rPr>
                <w:lang w:val="mk-MK"/>
              </w:rPr>
              <w:t>За сума под 27.000,00 МКД</w:t>
            </w:r>
          </w:p>
        </w:tc>
      </w:tr>
      <w:tr w:rsidR="00411444" w:rsidRPr="002E6842" w14:paraId="0D357A1D" w14:textId="77777777" w:rsidTr="00411444">
        <w:tc>
          <w:tcPr>
            <w:tcW w:w="4410" w:type="dxa"/>
          </w:tcPr>
          <w:p w14:paraId="068D425C" w14:textId="75F1AC87" w:rsidR="00411444" w:rsidRPr="00411444" w:rsidRDefault="00411444" w:rsidP="00DF2D7C">
            <w:pPr>
              <w:jc w:val="both"/>
              <w:rPr>
                <w:lang w:val="mk-MK"/>
              </w:rPr>
            </w:pPr>
            <w:r w:rsidRPr="00411444">
              <w:rPr>
                <w:lang w:val="mk-MK"/>
              </w:rPr>
              <w:t xml:space="preserve">Споредба на цена (понуди од </w:t>
            </w:r>
            <w:r w:rsidR="00FA255D">
              <w:rPr>
                <w:lang w:val="mk-MK"/>
              </w:rPr>
              <w:t xml:space="preserve">најмалку </w:t>
            </w:r>
            <w:r w:rsidRPr="00411444">
              <w:rPr>
                <w:lang w:val="mk-MK"/>
              </w:rPr>
              <w:t>3 добавувачи)</w:t>
            </w:r>
          </w:p>
        </w:tc>
        <w:tc>
          <w:tcPr>
            <w:tcW w:w="4680" w:type="dxa"/>
          </w:tcPr>
          <w:p w14:paraId="74376BF5" w14:textId="77777777" w:rsidR="00411444" w:rsidRPr="00411444" w:rsidRDefault="00411444" w:rsidP="00DF2D7C">
            <w:pPr>
              <w:jc w:val="both"/>
              <w:rPr>
                <w:lang w:val="mk-MK"/>
              </w:rPr>
            </w:pPr>
            <w:r w:rsidRPr="00411444">
              <w:rPr>
                <w:lang w:val="mk-MK"/>
              </w:rPr>
              <w:t>За сума над 27.000,00 МКД до 145.000,00 МКД</w:t>
            </w:r>
          </w:p>
        </w:tc>
      </w:tr>
      <w:tr w:rsidR="00411444" w14:paraId="6A781698" w14:textId="77777777" w:rsidTr="00411444">
        <w:tc>
          <w:tcPr>
            <w:tcW w:w="4410" w:type="dxa"/>
          </w:tcPr>
          <w:p w14:paraId="579A516C" w14:textId="77777777" w:rsidR="00411444" w:rsidRPr="00411444" w:rsidRDefault="00411444" w:rsidP="00DF2D7C">
            <w:pPr>
              <w:jc w:val="both"/>
              <w:rPr>
                <w:lang w:val="mk-MK"/>
              </w:rPr>
            </w:pPr>
            <w:r w:rsidRPr="00411444">
              <w:rPr>
                <w:lang w:val="mk-MK"/>
              </w:rPr>
              <w:t xml:space="preserve">Целосна тендерска документација </w:t>
            </w:r>
          </w:p>
        </w:tc>
        <w:tc>
          <w:tcPr>
            <w:tcW w:w="4680" w:type="dxa"/>
          </w:tcPr>
          <w:p w14:paraId="5632807D" w14:textId="77777777" w:rsidR="00411444" w:rsidRPr="00411444" w:rsidRDefault="00411444" w:rsidP="00DF2D7C">
            <w:pPr>
              <w:jc w:val="both"/>
              <w:rPr>
                <w:lang w:val="mk-MK"/>
              </w:rPr>
            </w:pPr>
            <w:r w:rsidRPr="00411444">
              <w:rPr>
                <w:lang w:val="mk-MK"/>
              </w:rPr>
              <w:t>За сума над 145.000,00 МКД</w:t>
            </w:r>
          </w:p>
        </w:tc>
      </w:tr>
    </w:tbl>
    <w:p w14:paraId="42C282A7" w14:textId="77777777" w:rsidR="00FA255D" w:rsidRDefault="002821F2" w:rsidP="00DF2D7C">
      <w:pPr>
        <w:jc w:val="both"/>
        <w:rPr>
          <w:lang w:val="mk-MK"/>
        </w:rPr>
      </w:pPr>
      <w:r>
        <w:rPr>
          <w:lang w:val="mk-MK"/>
        </w:rPr>
        <w:t xml:space="preserve">       </w:t>
      </w:r>
    </w:p>
    <w:p w14:paraId="1C07C799" w14:textId="5C123D32" w:rsidR="00411444" w:rsidRDefault="002821F2" w:rsidP="00DF2D7C">
      <w:pPr>
        <w:jc w:val="both"/>
        <w:rPr>
          <w:lang w:val="mk-MK"/>
        </w:rPr>
      </w:pPr>
      <w:r w:rsidRPr="00186B01">
        <w:rPr>
          <w:color w:val="FF0000"/>
          <w:lang w:val="mk-MK"/>
        </w:rPr>
        <w:t xml:space="preserve">*Напомена </w:t>
      </w:r>
      <w:r>
        <w:rPr>
          <w:lang w:val="mk-MK"/>
        </w:rPr>
        <w:t xml:space="preserve">– Ова се процедури кои се однесуваат за еден добавувач. Во случај првата набавка од определен добавувач да не ја надминува сумата од 27.000,00 МКД, а имаме потреба од втора услуга од истиот добавувач, за втората услуга ќе мора да биде направена споредба на цени (понуди од 3 добавувачи) без оглед дали предвидената услуга е под прагот од 27.000,00 </w:t>
      </w:r>
      <w:r w:rsidR="00186B01">
        <w:rPr>
          <w:lang w:val="mk-MK"/>
        </w:rPr>
        <w:t xml:space="preserve">МКД. </w:t>
      </w:r>
    </w:p>
    <w:p w14:paraId="7180EE27" w14:textId="77777777" w:rsidR="004101CF" w:rsidRPr="00FA255D" w:rsidRDefault="002D46B8" w:rsidP="00DF2D7C">
      <w:pPr>
        <w:jc w:val="both"/>
        <w:rPr>
          <w:b/>
          <w:sz w:val="28"/>
          <w:u w:val="single"/>
          <w:lang w:val="mk-MK"/>
        </w:rPr>
      </w:pPr>
      <w:r w:rsidRPr="00FA255D">
        <w:rPr>
          <w:b/>
          <w:sz w:val="28"/>
          <w:u w:val="single"/>
          <w:lang w:val="mk-MK"/>
        </w:rPr>
        <w:t>Задолжителна финансиска документација</w:t>
      </w:r>
    </w:p>
    <w:p w14:paraId="7A3D497F" w14:textId="6BD01341" w:rsidR="00411444" w:rsidRDefault="00411444" w:rsidP="00DF2D7C">
      <w:pPr>
        <w:pStyle w:val="ListParagraph"/>
        <w:numPr>
          <w:ilvl w:val="0"/>
          <w:numId w:val="2"/>
        </w:numPr>
        <w:ind w:left="360"/>
        <w:jc w:val="both"/>
        <w:rPr>
          <w:lang w:val="mk-MK"/>
        </w:rPr>
      </w:pPr>
      <w:r>
        <w:rPr>
          <w:lang w:val="mk-MK"/>
        </w:rPr>
        <w:t>Наз</w:t>
      </w:r>
      <w:r w:rsidR="00062287">
        <w:rPr>
          <w:lang w:val="mk-MK"/>
        </w:rPr>
        <w:t xml:space="preserve">начувањето на проектен персонал, кој е член на здружението </w:t>
      </w:r>
      <w:r>
        <w:rPr>
          <w:lang w:val="mk-MK"/>
        </w:rPr>
        <w:t xml:space="preserve">мора да биде поддржано со одлука од </w:t>
      </w:r>
      <w:r w:rsidR="00FA255D">
        <w:rPr>
          <w:lang w:val="mk-MK"/>
        </w:rPr>
        <w:t>Управниот одбор</w:t>
      </w:r>
      <w:r>
        <w:rPr>
          <w:lang w:val="mk-MK"/>
        </w:rPr>
        <w:t xml:space="preserve"> на здружението</w:t>
      </w:r>
      <w:r w:rsidR="00FA255D">
        <w:rPr>
          <w:lang w:val="mk-MK"/>
        </w:rPr>
        <w:t xml:space="preserve"> или одлука на Претседателот</w:t>
      </w:r>
      <w:r>
        <w:rPr>
          <w:lang w:val="mk-MK"/>
        </w:rPr>
        <w:t>.</w:t>
      </w:r>
      <w:r w:rsidR="00062287">
        <w:rPr>
          <w:lang w:val="mk-MK"/>
        </w:rPr>
        <w:t xml:space="preserve"> Доколку не е член, ќе треба да се направи набавка преку објава на оглас.</w:t>
      </w:r>
    </w:p>
    <w:p w14:paraId="1C398CBE" w14:textId="3F437D57" w:rsidR="00411444" w:rsidRDefault="002821F2" w:rsidP="00DF2D7C">
      <w:pPr>
        <w:pStyle w:val="ListParagraph"/>
        <w:numPr>
          <w:ilvl w:val="0"/>
          <w:numId w:val="2"/>
        </w:numPr>
        <w:ind w:left="360"/>
        <w:jc w:val="both"/>
        <w:rPr>
          <w:lang w:val="mk-MK"/>
        </w:rPr>
      </w:pPr>
      <w:r>
        <w:rPr>
          <w:lang w:val="mk-MK"/>
        </w:rPr>
        <w:t xml:space="preserve">Во имплементацијата на проектот треба да бидат користени </w:t>
      </w:r>
      <w:r w:rsidR="00062287">
        <w:rPr>
          <w:lang w:val="mk-MK"/>
        </w:rPr>
        <w:t>обрасците</w:t>
      </w:r>
      <w:r>
        <w:rPr>
          <w:lang w:val="mk-MK"/>
        </w:rPr>
        <w:t xml:space="preserve"> за договори, патни трошоци, листи на учесници</w:t>
      </w:r>
      <w:r w:rsidR="00C24B4F">
        <w:rPr>
          <w:lang w:val="mk-MK"/>
        </w:rPr>
        <w:t xml:space="preserve">, </w:t>
      </w:r>
      <w:r w:rsidR="00062287">
        <w:rPr>
          <w:lang w:val="mk-MK"/>
        </w:rPr>
        <w:t>евиденција на работно време</w:t>
      </w:r>
      <w:r>
        <w:rPr>
          <w:lang w:val="mk-MK"/>
        </w:rPr>
        <w:t xml:space="preserve"> и процедури за набавка</w:t>
      </w:r>
      <w:r w:rsidR="00062287">
        <w:rPr>
          <w:lang w:val="mk-MK"/>
        </w:rPr>
        <w:t>,</w:t>
      </w:r>
      <w:r>
        <w:rPr>
          <w:lang w:val="mk-MK"/>
        </w:rPr>
        <w:t xml:space="preserve"> кои ќе бидат обезбедени од страна на Мрежата за рурален развој.</w:t>
      </w:r>
    </w:p>
    <w:p w14:paraId="3A93B814" w14:textId="70F9A0D8" w:rsidR="00020274" w:rsidRDefault="00020274" w:rsidP="00DF2D7C">
      <w:pPr>
        <w:pStyle w:val="ListParagraph"/>
        <w:numPr>
          <w:ilvl w:val="0"/>
          <w:numId w:val="2"/>
        </w:numPr>
        <w:ind w:left="360"/>
        <w:jc w:val="both"/>
        <w:rPr>
          <w:lang w:val="mk-MK"/>
        </w:rPr>
      </w:pPr>
      <w:r>
        <w:rPr>
          <w:lang w:val="mk-MK"/>
        </w:rPr>
        <w:t xml:space="preserve">Формуларите за патните трошоци мора да бидат поткрепени со сметки за направениот трошок (автобуска карта, патарини или сметка за гориво). </w:t>
      </w:r>
      <w:r w:rsidR="008D7B77">
        <w:rPr>
          <w:lang w:val="mk-MK"/>
        </w:rPr>
        <w:t xml:space="preserve">За патните трошоци кои ќе бидат направени од проектниот персонал треба да се користи патниот налог кој ќе биде </w:t>
      </w:r>
      <w:r w:rsidR="00062287">
        <w:rPr>
          <w:lang w:val="mk-MK"/>
        </w:rPr>
        <w:t>доставен</w:t>
      </w:r>
      <w:r w:rsidR="008D7B77">
        <w:rPr>
          <w:lang w:val="mk-MK"/>
        </w:rPr>
        <w:t>, додека за патните трошоци направени од учесници</w:t>
      </w:r>
      <w:r w:rsidR="00062287">
        <w:rPr>
          <w:lang w:val="mk-MK"/>
        </w:rPr>
        <w:t>,</w:t>
      </w:r>
      <w:r w:rsidR="008D7B77">
        <w:rPr>
          <w:lang w:val="mk-MK"/>
        </w:rPr>
        <w:t xml:space="preserve"> треба да се користи формуларот за покривање на патни трошоци на учесници. Доколку патните трошоци се покриваат на проектен персонал/учесник на обука за патување направено со свое возило, во прилог треба да биде и пресметка на далечината од почетната до крајната дестинација. Тоа можете да го направите преку наведените страни:</w:t>
      </w:r>
    </w:p>
    <w:p w14:paraId="46B8A56E" w14:textId="4ED99815" w:rsidR="008D7B77" w:rsidRPr="008D7B77" w:rsidRDefault="008D7B77" w:rsidP="008D7B77">
      <w:pPr>
        <w:pStyle w:val="ListParagraph"/>
        <w:numPr>
          <w:ilvl w:val="1"/>
          <w:numId w:val="2"/>
        </w:numPr>
        <w:jc w:val="both"/>
        <w:rPr>
          <w:lang w:val="mk-MK"/>
        </w:rPr>
      </w:pPr>
      <w:r>
        <w:t>Google maps (</w:t>
      </w:r>
      <w:hyperlink r:id="rId8" w:history="1">
        <w:r w:rsidRPr="004D7B48">
          <w:rPr>
            <w:rStyle w:val="Hyperlink"/>
          </w:rPr>
          <w:t>https://maps.google.com/</w:t>
        </w:r>
      </w:hyperlink>
      <w:r>
        <w:t>)</w:t>
      </w:r>
    </w:p>
    <w:p w14:paraId="7507EE51" w14:textId="1C745262" w:rsidR="008D7B77" w:rsidRPr="008D7B77" w:rsidRDefault="008D7B77" w:rsidP="008D7B77">
      <w:pPr>
        <w:pStyle w:val="ListParagraph"/>
        <w:numPr>
          <w:ilvl w:val="1"/>
          <w:numId w:val="2"/>
        </w:numPr>
        <w:jc w:val="both"/>
        <w:rPr>
          <w:lang w:val="mk-MK"/>
        </w:rPr>
      </w:pPr>
      <w:r>
        <w:t>Via Michelin (</w:t>
      </w:r>
      <w:hyperlink r:id="rId9" w:history="1">
        <w:r>
          <w:rPr>
            <w:rStyle w:val="Hyperlink"/>
          </w:rPr>
          <w:t>https://www.viamichelin.com/</w:t>
        </w:r>
      </w:hyperlink>
      <w:r>
        <w:t>)</w:t>
      </w:r>
    </w:p>
    <w:p w14:paraId="3589358C" w14:textId="427EAD3E" w:rsidR="008D7B77" w:rsidRPr="008D7B77" w:rsidRDefault="008D7B77" w:rsidP="008D7B77">
      <w:pPr>
        <w:pStyle w:val="ListParagraph"/>
        <w:ind w:left="1440"/>
        <w:jc w:val="both"/>
        <w:rPr>
          <w:lang w:val="mk-MK"/>
        </w:rPr>
      </w:pPr>
      <w:r>
        <w:t xml:space="preserve">* </w:t>
      </w:r>
      <w:r>
        <w:rPr>
          <w:lang w:val="mk-MK"/>
        </w:rPr>
        <w:t xml:space="preserve">Дозволени се отстапки до 5% </w:t>
      </w:r>
    </w:p>
    <w:p w14:paraId="66D91563" w14:textId="04A51F5B" w:rsidR="002821F2" w:rsidRDefault="002821F2" w:rsidP="00DF2D7C">
      <w:pPr>
        <w:pStyle w:val="ListParagraph"/>
        <w:numPr>
          <w:ilvl w:val="0"/>
          <w:numId w:val="2"/>
        </w:numPr>
        <w:ind w:left="360"/>
        <w:jc w:val="both"/>
        <w:rPr>
          <w:lang w:val="mk-MK"/>
        </w:rPr>
      </w:pPr>
      <w:r>
        <w:rPr>
          <w:lang w:val="mk-MK"/>
        </w:rPr>
        <w:t xml:space="preserve">Сите трошоци кои ќе бидат направени при </w:t>
      </w:r>
      <w:r w:rsidR="005B220F">
        <w:rPr>
          <w:lang w:val="mk-MK"/>
        </w:rPr>
        <w:t>имплементацијата</w:t>
      </w:r>
      <w:r>
        <w:rPr>
          <w:lang w:val="mk-MK"/>
        </w:rPr>
        <w:t xml:space="preserve"> на проектот, фактурите од добавувачите мора д</w:t>
      </w:r>
      <w:r w:rsidR="00062287">
        <w:rPr>
          <w:lang w:val="mk-MK"/>
        </w:rPr>
        <w:t xml:space="preserve">а гласат на името на проектот. </w:t>
      </w:r>
      <w:r>
        <w:rPr>
          <w:lang w:val="mk-MK"/>
        </w:rPr>
        <w:t xml:space="preserve">Во случај каде што не може да биде напишано целосното име на проектот поради системски ограничувања, се дозволува да се искористи кратенка која ќе </w:t>
      </w:r>
      <w:r w:rsidR="005B220F">
        <w:rPr>
          <w:lang w:val="mk-MK"/>
        </w:rPr>
        <w:t>соодветствува</w:t>
      </w:r>
      <w:r w:rsidR="00062287">
        <w:rPr>
          <w:lang w:val="mk-MK"/>
        </w:rPr>
        <w:t xml:space="preserve"> со проектното име.</w:t>
      </w:r>
    </w:p>
    <w:p w14:paraId="0CBC4DD4" w14:textId="77777777" w:rsidR="00062287" w:rsidRDefault="00C24B4F" w:rsidP="00DF2D7C">
      <w:pPr>
        <w:pStyle w:val="ListParagraph"/>
        <w:numPr>
          <w:ilvl w:val="0"/>
          <w:numId w:val="2"/>
        </w:numPr>
        <w:ind w:left="360"/>
        <w:jc w:val="both"/>
        <w:rPr>
          <w:lang w:val="mk-MK"/>
        </w:rPr>
      </w:pPr>
      <w:r>
        <w:rPr>
          <w:lang w:val="mk-MK"/>
        </w:rPr>
        <w:t>За секоја набавка</w:t>
      </w:r>
      <w:r w:rsidR="00186B01">
        <w:rPr>
          <w:lang w:val="mk-MK"/>
        </w:rPr>
        <w:t xml:space="preserve"> </w:t>
      </w:r>
      <w:r w:rsidR="00186B01" w:rsidRPr="00186B01">
        <w:rPr>
          <w:lang w:val="ru-RU"/>
        </w:rPr>
        <w:t>(</w:t>
      </w:r>
      <w:r w:rsidR="00186B01">
        <w:rPr>
          <w:lang w:val="mk-MK"/>
        </w:rPr>
        <w:t>без оглед дали спаѓа во првата категорија – сума под 27.000,00 МКД</w:t>
      </w:r>
      <w:r>
        <w:rPr>
          <w:lang w:val="mk-MK"/>
        </w:rPr>
        <w:t xml:space="preserve"> каде што не се потребни понуди од 3 добавувачи) мора да има доказ за </w:t>
      </w:r>
      <w:r w:rsidR="00F87D29">
        <w:rPr>
          <w:lang w:val="mk-MK"/>
        </w:rPr>
        <w:t>пазарната</w:t>
      </w:r>
      <w:r w:rsidR="002D46B8">
        <w:rPr>
          <w:lang w:val="mk-MK"/>
        </w:rPr>
        <w:t xml:space="preserve"> </w:t>
      </w:r>
      <w:r>
        <w:rPr>
          <w:lang w:val="mk-MK"/>
        </w:rPr>
        <w:t>вредност на услугата</w:t>
      </w:r>
      <w:r w:rsidR="002D46B8">
        <w:rPr>
          <w:lang w:val="mk-MK"/>
        </w:rPr>
        <w:t>/производот</w:t>
      </w:r>
      <w:r>
        <w:rPr>
          <w:lang w:val="mk-MK"/>
        </w:rPr>
        <w:t xml:space="preserve"> (</w:t>
      </w:r>
      <w:r w:rsidR="00062287">
        <w:rPr>
          <w:lang w:val="mk-MK"/>
        </w:rPr>
        <w:t>електронска</w:t>
      </w:r>
      <w:r>
        <w:rPr>
          <w:lang w:val="mk-MK"/>
        </w:rPr>
        <w:t xml:space="preserve"> комуникација</w:t>
      </w:r>
      <w:r w:rsidR="00062287">
        <w:rPr>
          <w:lang w:val="mk-MK"/>
        </w:rPr>
        <w:t xml:space="preserve">, </w:t>
      </w:r>
      <w:r>
        <w:rPr>
          <w:lang w:val="mk-MK"/>
        </w:rPr>
        <w:t>доставена потпишана понуда</w:t>
      </w:r>
      <w:r w:rsidR="00062287">
        <w:rPr>
          <w:lang w:val="mk-MK"/>
        </w:rPr>
        <w:t xml:space="preserve"> или доказ за истражување на цените на пазарот</w:t>
      </w:r>
      <w:r>
        <w:rPr>
          <w:lang w:val="mk-MK"/>
        </w:rPr>
        <w:t>)</w:t>
      </w:r>
      <w:r w:rsidR="00554E3B">
        <w:rPr>
          <w:lang w:val="mk-MK"/>
        </w:rPr>
        <w:t>.</w:t>
      </w:r>
    </w:p>
    <w:p w14:paraId="311651EE" w14:textId="1375D8A1" w:rsidR="002821F2" w:rsidRDefault="00554E3B" w:rsidP="00062287">
      <w:pPr>
        <w:pStyle w:val="ListParagraph"/>
        <w:ind w:left="360"/>
        <w:jc w:val="both"/>
        <w:rPr>
          <w:lang w:val="mk-MK"/>
        </w:rPr>
      </w:pPr>
      <w:r>
        <w:rPr>
          <w:lang w:val="mk-MK"/>
        </w:rPr>
        <w:t>Во барањето за понуда треба јасно да бидат наведени квалификациите/спецификациите кои се потребни од дадениот консултант/производ.</w:t>
      </w:r>
      <w:bookmarkStart w:id="0" w:name="_GoBack"/>
      <w:bookmarkEnd w:id="0"/>
    </w:p>
    <w:p w14:paraId="4051DE91" w14:textId="399DF73D" w:rsidR="00C24B4F" w:rsidRPr="00D06063" w:rsidRDefault="00C24B4F" w:rsidP="00DF2D7C">
      <w:pPr>
        <w:pStyle w:val="ListParagraph"/>
        <w:numPr>
          <w:ilvl w:val="0"/>
          <w:numId w:val="2"/>
        </w:numPr>
        <w:ind w:left="360"/>
        <w:jc w:val="both"/>
        <w:rPr>
          <w:lang w:val="mk-MK"/>
        </w:rPr>
      </w:pPr>
      <w:r>
        <w:rPr>
          <w:lang w:val="mk-MK"/>
        </w:rPr>
        <w:lastRenderedPageBreak/>
        <w:t xml:space="preserve">При најмувањето на консултант важат истите услови од точка 8, со што консултантот како доказ дека го има потребното искуство за бараната услуга треба да го достави своето </w:t>
      </w:r>
      <w:r>
        <w:t>CV</w:t>
      </w:r>
      <w:r w:rsidR="00062287">
        <w:rPr>
          <w:lang w:val="mk-MK"/>
        </w:rPr>
        <w:t xml:space="preserve"> ( биографија)</w:t>
      </w:r>
      <w:r w:rsidRPr="00C24B4F">
        <w:rPr>
          <w:lang w:val="ru-RU"/>
        </w:rPr>
        <w:t>.</w:t>
      </w:r>
    </w:p>
    <w:p w14:paraId="2E0072AB" w14:textId="44AFD932" w:rsidR="00554E3B" w:rsidRPr="00554E3B" w:rsidRDefault="00554E3B" w:rsidP="00554E3B">
      <w:pPr>
        <w:pStyle w:val="ListParagraph"/>
        <w:ind w:left="360"/>
        <w:jc w:val="both"/>
        <w:rPr>
          <w:lang w:val="ru-RU"/>
        </w:rPr>
      </w:pPr>
      <w:r w:rsidRPr="00554E3B">
        <w:rPr>
          <w:lang w:val="mk-MK"/>
        </w:rPr>
        <w:t xml:space="preserve">Лицето кое го одобрува </w:t>
      </w:r>
      <w:r w:rsidR="00062287">
        <w:rPr>
          <w:lang w:val="mk-MK"/>
        </w:rPr>
        <w:t xml:space="preserve">образецот за евиденција на работно време </w:t>
      </w:r>
      <w:r w:rsidRPr="00554E3B">
        <w:rPr>
          <w:lang w:val="ru-RU"/>
        </w:rPr>
        <w:t xml:space="preserve">не смее да биде исто со лицето кое го </w:t>
      </w:r>
      <w:r w:rsidR="00062287">
        <w:rPr>
          <w:lang w:val="ru-RU"/>
        </w:rPr>
        <w:t>поднесува</w:t>
      </w:r>
      <w:r w:rsidRPr="00554E3B">
        <w:rPr>
          <w:lang w:val="ru-RU"/>
        </w:rPr>
        <w:t>.</w:t>
      </w:r>
    </w:p>
    <w:p w14:paraId="0E9F8227" w14:textId="43BDABE2" w:rsidR="00F87D29" w:rsidRPr="00EC755A" w:rsidRDefault="00554E3B" w:rsidP="00EC755A">
      <w:pPr>
        <w:pStyle w:val="ListParagraph"/>
        <w:numPr>
          <w:ilvl w:val="0"/>
          <w:numId w:val="2"/>
        </w:numPr>
        <w:ind w:left="360"/>
        <w:jc w:val="both"/>
        <w:rPr>
          <w:lang w:val="mk-MK"/>
        </w:rPr>
      </w:pPr>
      <w:r w:rsidRPr="001C617F">
        <w:rPr>
          <w:lang w:val="mk-MK"/>
        </w:rPr>
        <w:t>Сите документи за сите плаќања кои се направени при имплементација на проектот треба да имаат печат</w:t>
      </w:r>
      <w:r w:rsidR="001C617F" w:rsidRPr="001C617F">
        <w:rPr>
          <w:lang w:val="mk-MK"/>
        </w:rPr>
        <w:t xml:space="preserve"> дека плаќањето е извршено со финансиска помош од </w:t>
      </w:r>
      <w:r w:rsidR="001C617F">
        <w:t>We</w:t>
      </w:r>
      <w:r w:rsidR="001C617F" w:rsidRPr="001C617F">
        <w:rPr>
          <w:lang w:val="ru-RU"/>
        </w:rPr>
        <w:t xml:space="preserve"> </w:t>
      </w:r>
      <w:r w:rsidR="001C617F">
        <w:t>Effect</w:t>
      </w:r>
      <w:r w:rsidR="001C617F" w:rsidRPr="001C617F">
        <w:rPr>
          <w:lang w:val="mk-MK"/>
        </w:rPr>
        <w:t xml:space="preserve">. </w:t>
      </w:r>
      <w:r w:rsidR="00EC755A">
        <w:rPr>
          <w:lang w:val="mk-MK"/>
        </w:rPr>
        <w:t>Трошокот за набавка на печа</w:t>
      </w:r>
      <w:r w:rsidR="001C617F" w:rsidRPr="001C617F">
        <w:rPr>
          <w:lang w:val="mk-MK"/>
        </w:rPr>
        <w:t xml:space="preserve">тот </w:t>
      </w:r>
      <w:r w:rsidRPr="001C617F">
        <w:rPr>
          <w:lang w:val="mk-MK"/>
        </w:rPr>
        <w:t xml:space="preserve"> </w:t>
      </w:r>
      <w:r w:rsidR="00EC755A">
        <w:rPr>
          <w:lang w:val="mk-MK"/>
        </w:rPr>
        <w:t>треба да биде предвиден во буџетот на поднесената апликација</w:t>
      </w:r>
      <w:r w:rsidR="001C617F">
        <w:rPr>
          <w:lang w:val="mk-MK"/>
        </w:rPr>
        <w:t>.</w:t>
      </w:r>
    </w:p>
    <w:p w14:paraId="1041BA83" w14:textId="77777777" w:rsidR="006E7511" w:rsidRDefault="006E7511" w:rsidP="00F87D29">
      <w:pPr>
        <w:jc w:val="both"/>
        <w:rPr>
          <w:sz w:val="28"/>
          <w:u w:val="single"/>
          <w:lang w:val="mk-MK"/>
        </w:rPr>
      </w:pPr>
    </w:p>
    <w:p w14:paraId="521CEB90" w14:textId="77777777" w:rsidR="006E7511" w:rsidRDefault="006E7511" w:rsidP="00F87D29">
      <w:pPr>
        <w:jc w:val="both"/>
        <w:rPr>
          <w:sz w:val="28"/>
          <w:u w:val="single"/>
          <w:lang w:val="mk-MK"/>
        </w:rPr>
      </w:pPr>
    </w:p>
    <w:p w14:paraId="1850DD06" w14:textId="449CE57E" w:rsidR="001C617F" w:rsidRPr="00F87D29" w:rsidRDefault="00F87D29" w:rsidP="00F87D29">
      <w:pPr>
        <w:jc w:val="both"/>
        <w:rPr>
          <w:sz w:val="28"/>
          <w:u w:val="single"/>
          <w:lang w:val="mk-MK"/>
        </w:rPr>
      </w:pPr>
      <w:r w:rsidRPr="00F87D29">
        <w:rPr>
          <w:sz w:val="28"/>
          <w:u w:val="single"/>
          <w:lang w:val="mk-MK"/>
        </w:rPr>
        <w:t>Финансиско известување</w:t>
      </w:r>
    </w:p>
    <w:p w14:paraId="24169A50" w14:textId="09FDEC65" w:rsidR="00F63038" w:rsidRDefault="00F63038" w:rsidP="00F63038">
      <w:pPr>
        <w:pStyle w:val="ListParagraph"/>
        <w:numPr>
          <w:ilvl w:val="0"/>
          <w:numId w:val="2"/>
        </w:numPr>
        <w:ind w:left="360"/>
        <w:jc w:val="both"/>
        <w:rPr>
          <w:lang w:val="mk-MK"/>
        </w:rPr>
      </w:pPr>
      <w:r>
        <w:rPr>
          <w:lang w:val="mk-MK"/>
        </w:rPr>
        <w:t xml:space="preserve">Извештаите мора да бидат спакувани според </w:t>
      </w:r>
      <w:r w:rsidR="005B220F">
        <w:rPr>
          <w:lang w:val="mk-MK"/>
        </w:rPr>
        <w:t>упатствата</w:t>
      </w:r>
      <w:r>
        <w:rPr>
          <w:lang w:val="mk-MK"/>
        </w:rPr>
        <w:t xml:space="preserve"> кои ќе бидат дадени</w:t>
      </w:r>
      <w:r w:rsidR="00EC755A">
        <w:rPr>
          <w:lang w:val="mk-MK"/>
        </w:rPr>
        <w:t xml:space="preserve"> од страна на МРР</w:t>
      </w:r>
      <w:r>
        <w:rPr>
          <w:lang w:val="mk-MK"/>
        </w:rPr>
        <w:t xml:space="preserve">. </w:t>
      </w:r>
      <w:r w:rsidRPr="006E7511">
        <w:rPr>
          <w:b/>
          <w:u w:val="single"/>
          <w:lang w:val="mk-MK"/>
        </w:rPr>
        <w:t>Нема да бидат прифатени извештаи кои нема да бидат спакувани според соодветните упатства</w:t>
      </w:r>
      <w:r>
        <w:rPr>
          <w:lang w:val="mk-MK"/>
        </w:rPr>
        <w:t>.</w:t>
      </w:r>
    </w:p>
    <w:p w14:paraId="122ABF2A" w14:textId="74CAA08A" w:rsidR="00F63038" w:rsidRDefault="00F63038" w:rsidP="005B51EE">
      <w:pPr>
        <w:pStyle w:val="ListParagraph"/>
        <w:numPr>
          <w:ilvl w:val="0"/>
          <w:numId w:val="2"/>
        </w:numPr>
        <w:ind w:left="360"/>
        <w:jc w:val="both"/>
        <w:rPr>
          <w:lang w:val="mk-MK"/>
        </w:rPr>
      </w:pPr>
      <w:r w:rsidRPr="005B51EE">
        <w:rPr>
          <w:lang w:val="mk-MK"/>
        </w:rPr>
        <w:t>Сите набавки кои ја надминуваат границата од 27.000,00 МКД и спаѓаат во групата на набавки со три понуди,  мора да бидат пратени</w:t>
      </w:r>
      <w:r w:rsidR="005B220F" w:rsidRPr="005B51EE">
        <w:rPr>
          <w:lang w:val="mk-MK"/>
        </w:rPr>
        <w:t xml:space="preserve"> електронски</w:t>
      </w:r>
      <w:r w:rsidRPr="005B51EE">
        <w:rPr>
          <w:lang w:val="mk-MK"/>
        </w:rPr>
        <w:t xml:space="preserve"> на одобрување во Мрежата за рурален развој пред да бидат прифатени (</w:t>
      </w:r>
      <w:r w:rsidR="005B220F" w:rsidRPr="005B51EE">
        <w:rPr>
          <w:lang w:val="mk-MK"/>
        </w:rPr>
        <w:t>вклучувајќи</w:t>
      </w:r>
      <w:r w:rsidRPr="005B51EE">
        <w:rPr>
          <w:lang w:val="mk-MK"/>
        </w:rPr>
        <w:t xml:space="preserve"> ја комуникацијата, понудата како и</w:t>
      </w:r>
      <w:r w:rsidR="005B220F" w:rsidRPr="005B51EE">
        <w:rPr>
          <w:lang w:val="mk-MK"/>
        </w:rPr>
        <w:t xml:space="preserve"> комплетната</w:t>
      </w:r>
      <w:r w:rsidRPr="005B51EE">
        <w:rPr>
          <w:lang w:val="mk-MK"/>
        </w:rPr>
        <w:t xml:space="preserve"> документ</w:t>
      </w:r>
      <w:r w:rsidR="005B220F" w:rsidRPr="005B51EE">
        <w:rPr>
          <w:lang w:val="mk-MK"/>
        </w:rPr>
        <w:t>ација</w:t>
      </w:r>
      <w:r w:rsidRPr="005B51EE">
        <w:rPr>
          <w:lang w:val="mk-MK"/>
        </w:rPr>
        <w:t xml:space="preserve"> за набавка).</w:t>
      </w:r>
    </w:p>
    <w:sectPr w:rsidR="00F6303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36BF6" w14:textId="77777777" w:rsidR="0042056F" w:rsidRDefault="0042056F" w:rsidP="00DF2D7C">
      <w:pPr>
        <w:spacing w:after="0" w:line="240" w:lineRule="auto"/>
      </w:pPr>
      <w:r>
        <w:separator/>
      </w:r>
    </w:p>
  </w:endnote>
  <w:endnote w:type="continuationSeparator" w:id="0">
    <w:p w14:paraId="6F72F345" w14:textId="77777777" w:rsidR="0042056F" w:rsidRDefault="0042056F" w:rsidP="00DF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533B8" w14:textId="77777777" w:rsidR="002E6842" w:rsidRPr="002E6842" w:rsidRDefault="002E6842" w:rsidP="002E6842">
    <w:pPr>
      <w:tabs>
        <w:tab w:val="right" w:pos="9360"/>
      </w:tabs>
      <w:spacing w:after="0" w:line="240" w:lineRule="auto"/>
      <w:jc w:val="center"/>
      <w:rPr>
        <w:rFonts w:ascii="Calibri" w:eastAsia="Calibri" w:hAnsi="Calibri"/>
        <w:color w:val="A6A6A6"/>
        <w:sz w:val="24"/>
        <w:lang w:val="ru-RU"/>
      </w:rPr>
    </w:pPr>
    <w:r w:rsidRPr="002E6842">
      <w:rPr>
        <w:rFonts w:ascii="Calibri" w:eastAsia="Calibri" w:hAnsi="Calibri"/>
        <w:color w:val="A6A6A6"/>
        <w:sz w:val="24"/>
        <w:lang w:val="ru-RU"/>
      </w:rPr>
      <w:t>ул. Коста Веселинов бр.3</w:t>
    </w:r>
    <w:r w:rsidRPr="0014609F">
      <w:rPr>
        <w:rFonts w:ascii="Calibri" w:eastAsia="Calibri" w:hAnsi="Calibri"/>
        <w:color w:val="A6A6A6"/>
        <w:sz w:val="24"/>
      </w:rPr>
      <w:t>A</w:t>
    </w:r>
    <w:r w:rsidRPr="002E6842">
      <w:rPr>
        <w:rFonts w:ascii="Calibri" w:eastAsia="Calibri" w:hAnsi="Calibri"/>
        <w:color w:val="A6A6A6"/>
        <w:sz w:val="24"/>
        <w:lang w:val="ru-RU"/>
      </w:rPr>
      <w:t>, 1</w:t>
    </w:r>
    <w:r w:rsidRPr="00DB17A3">
      <w:rPr>
        <w:rFonts w:ascii="Calibri" w:eastAsia="Calibri" w:hAnsi="Calibri"/>
        <w:color w:val="A6A6A6"/>
        <w:sz w:val="24"/>
        <w:lang w:val="ru-RU"/>
      </w:rPr>
      <w:t>000</w:t>
    </w:r>
    <w:r w:rsidRPr="002E6842">
      <w:rPr>
        <w:rFonts w:ascii="Calibri" w:eastAsia="Calibri" w:hAnsi="Calibri"/>
        <w:color w:val="A6A6A6"/>
        <w:sz w:val="24"/>
        <w:lang w:val="ru-RU"/>
      </w:rPr>
      <w:t xml:space="preserve"> Скопје</w:t>
    </w:r>
  </w:p>
  <w:p w14:paraId="3CEE27E9" w14:textId="77777777" w:rsidR="002E6842" w:rsidRPr="002E6842" w:rsidRDefault="002E6842" w:rsidP="002E6842">
    <w:pPr>
      <w:spacing w:after="0" w:line="240" w:lineRule="auto"/>
      <w:jc w:val="center"/>
      <w:rPr>
        <w:rFonts w:ascii="Calibri" w:eastAsia="Calibri" w:hAnsi="Calibri"/>
        <w:sz w:val="24"/>
        <w:lang w:val="ru-RU"/>
      </w:rPr>
    </w:pPr>
    <w:r w:rsidRPr="00DB17A3">
      <w:rPr>
        <w:rFonts w:ascii="Calibri" w:eastAsia="Calibri" w:hAnsi="Calibri"/>
        <w:color w:val="A6A6A6"/>
        <w:sz w:val="24"/>
      </w:rPr>
      <w:t>T</w:t>
    </w:r>
    <w:r w:rsidRPr="002E6842">
      <w:rPr>
        <w:rFonts w:ascii="Calibri" w:eastAsia="Calibri" w:hAnsi="Calibri"/>
        <w:color w:val="A6A6A6"/>
        <w:sz w:val="24"/>
        <w:lang w:val="ru-RU"/>
      </w:rPr>
      <w:t xml:space="preserve">. +389 2 3075 506 | Ф. +389 2 3075 503 | Е. </w:t>
    </w:r>
    <w:r w:rsidRPr="00DB17A3">
      <w:rPr>
        <w:rFonts w:ascii="Calibri" w:eastAsia="Calibri" w:hAnsi="Calibri"/>
        <w:color w:val="A6A6A6"/>
        <w:sz w:val="24"/>
      </w:rPr>
      <w:t>info</w:t>
    </w:r>
    <w:r w:rsidRPr="002E6842">
      <w:rPr>
        <w:rFonts w:ascii="Calibri" w:eastAsia="Calibri" w:hAnsi="Calibri"/>
        <w:color w:val="A6A6A6"/>
        <w:sz w:val="24"/>
        <w:lang w:val="ru-RU"/>
      </w:rPr>
      <w:t>@</w:t>
    </w:r>
    <w:r w:rsidRPr="00DB17A3">
      <w:rPr>
        <w:rFonts w:ascii="Calibri" w:eastAsia="Calibri" w:hAnsi="Calibri"/>
        <w:color w:val="A6A6A6"/>
        <w:sz w:val="24"/>
      </w:rPr>
      <w:t>ruralnet</w:t>
    </w:r>
    <w:r w:rsidRPr="002E6842">
      <w:rPr>
        <w:rFonts w:ascii="Calibri" w:eastAsia="Calibri" w:hAnsi="Calibri"/>
        <w:color w:val="A6A6A6"/>
        <w:sz w:val="24"/>
        <w:lang w:val="ru-RU"/>
      </w:rPr>
      <w:t>.</w:t>
    </w:r>
    <w:r w:rsidRPr="00DB17A3">
      <w:rPr>
        <w:rFonts w:ascii="Calibri" w:eastAsia="Calibri" w:hAnsi="Calibri"/>
        <w:color w:val="A6A6A6"/>
        <w:sz w:val="24"/>
      </w:rPr>
      <w:t>mk</w:t>
    </w:r>
    <w:r w:rsidRPr="002E6842">
      <w:rPr>
        <w:rFonts w:ascii="Calibri" w:eastAsia="Calibri" w:hAnsi="Calibri"/>
        <w:color w:val="A6A6A6"/>
        <w:sz w:val="24"/>
        <w:lang w:val="ru-RU"/>
      </w:rPr>
      <w:t xml:space="preserve"> | </w:t>
    </w:r>
    <w:r w:rsidRPr="00DB17A3">
      <w:rPr>
        <w:rFonts w:ascii="Calibri" w:eastAsia="Calibri" w:hAnsi="Calibri"/>
        <w:color w:val="A6A6A6"/>
        <w:sz w:val="24"/>
      </w:rPr>
      <w:t>www</w:t>
    </w:r>
    <w:r w:rsidRPr="002E6842">
      <w:rPr>
        <w:rFonts w:ascii="Calibri" w:eastAsia="Calibri" w:hAnsi="Calibri"/>
        <w:color w:val="A6A6A6"/>
        <w:sz w:val="24"/>
        <w:lang w:val="ru-RU"/>
      </w:rPr>
      <w:t>.</w:t>
    </w:r>
    <w:r w:rsidRPr="00DB17A3">
      <w:rPr>
        <w:rFonts w:ascii="Calibri" w:eastAsia="Calibri" w:hAnsi="Calibri"/>
        <w:color w:val="A6A6A6"/>
        <w:sz w:val="24"/>
      </w:rPr>
      <w:t>ruralnet</w:t>
    </w:r>
    <w:r w:rsidRPr="002E6842">
      <w:rPr>
        <w:rFonts w:ascii="Calibri" w:eastAsia="Calibri" w:hAnsi="Calibri"/>
        <w:color w:val="A6A6A6"/>
        <w:sz w:val="24"/>
        <w:lang w:val="ru-RU"/>
      </w:rPr>
      <w:t>.</w:t>
    </w:r>
    <w:r w:rsidRPr="00DB17A3">
      <w:rPr>
        <w:rFonts w:ascii="Calibri" w:eastAsia="Calibri" w:hAnsi="Calibri"/>
        <w:color w:val="A6A6A6"/>
        <w:sz w:val="24"/>
      </w:rPr>
      <w:t>mk</w:t>
    </w:r>
  </w:p>
  <w:p w14:paraId="1342D242" w14:textId="77777777" w:rsidR="002E6842" w:rsidRPr="002E6842" w:rsidRDefault="002E6842">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04924" w14:textId="77777777" w:rsidR="0042056F" w:rsidRDefault="0042056F" w:rsidP="00DF2D7C">
      <w:pPr>
        <w:spacing w:after="0" w:line="240" w:lineRule="auto"/>
      </w:pPr>
      <w:r>
        <w:separator/>
      </w:r>
    </w:p>
  </w:footnote>
  <w:footnote w:type="continuationSeparator" w:id="0">
    <w:p w14:paraId="16187007" w14:textId="77777777" w:rsidR="0042056F" w:rsidRDefault="0042056F" w:rsidP="00DF2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E0050" w14:textId="69424092" w:rsidR="002E6842" w:rsidRPr="002E6842" w:rsidRDefault="002E6842" w:rsidP="002E6842">
    <w:pPr>
      <w:pStyle w:val="Header"/>
      <w:jc w:val="center"/>
    </w:pPr>
    <w:r w:rsidRPr="005F7B1F">
      <w:rPr>
        <w:noProof/>
      </w:rPr>
      <w:drawing>
        <wp:inline distT="0" distB="0" distL="0" distR="0" wp14:anchorId="6EE3364A" wp14:editId="4CC9800D">
          <wp:extent cx="885825" cy="485775"/>
          <wp:effectExtent l="0" t="0" r="9525" b="9525"/>
          <wp:docPr id="1" name="Picture 1" descr="RDN of NM_m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N of NM_m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737A0"/>
    <w:multiLevelType w:val="hybridMultilevel"/>
    <w:tmpl w:val="29C036BC"/>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680026"/>
    <w:multiLevelType w:val="hybridMultilevel"/>
    <w:tmpl w:val="D0447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EC0"/>
    <w:rsid w:val="00020274"/>
    <w:rsid w:val="000223FB"/>
    <w:rsid w:val="00062287"/>
    <w:rsid w:val="00175D71"/>
    <w:rsid w:val="00176BBF"/>
    <w:rsid w:val="00186B01"/>
    <w:rsid w:val="001C617F"/>
    <w:rsid w:val="001E48E3"/>
    <w:rsid w:val="00201646"/>
    <w:rsid w:val="002821F2"/>
    <w:rsid w:val="002A476E"/>
    <w:rsid w:val="002D46B8"/>
    <w:rsid w:val="002E6842"/>
    <w:rsid w:val="00385C28"/>
    <w:rsid w:val="003E5F74"/>
    <w:rsid w:val="004101CF"/>
    <w:rsid w:val="00411444"/>
    <w:rsid w:val="0042056F"/>
    <w:rsid w:val="00554E3B"/>
    <w:rsid w:val="005B220F"/>
    <w:rsid w:val="005B51EE"/>
    <w:rsid w:val="005F13A4"/>
    <w:rsid w:val="006005B7"/>
    <w:rsid w:val="006E7511"/>
    <w:rsid w:val="0075321D"/>
    <w:rsid w:val="00886C4D"/>
    <w:rsid w:val="00893BC3"/>
    <w:rsid w:val="008D7B77"/>
    <w:rsid w:val="00C24B4F"/>
    <w:rsid w:val="00CE44AE"/>
    <w:rsid w:val="00D06063"/>
    <w:rsid w:val="00DF2D7C"/>
    <w:rsid w:val="00EC755A"/>
    <w:rsid w:val="00EE4EC0"/>
    <w:rsid w:val="00F63038"/>
    <w:rsid w:val="00F87D29"/>
    <w:rsid w:val="00FA255D"/>
    <w:rsid w:val="00FA5E03"/>
    <w:rsid w:val="00FF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83C1"/>
  <w15:chartTrackingRefBased/>
  <w15:docId w15:val="{3D72A0ED-D164-4496-95C9-BC344B32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444"/>
    <w:pPr>
      <w:ind w:left="720"/>
      <w:contextualSpacing/>
    </w:pPr>
  </w:style>
  <w:style w:type="paragraph" w:styleId="EndnoteText">
    <w:name w:val="endnote text"/>
    <w:basedOn w:val="Normal"/>
    <w:link w:val="EndnoteTextChar"/>
    <w:uiPriority w:val="99"/>
    <w:semiHidden/>
    <w:unhideWhenUsed/>
    <w:rsid w:val="00DF2D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D7C"/>
    <w:rPr>
      <w:sz w:val="20"/>
      <w:szCs w:val="20"/>
    </w:rPr>
  </w:style>
  <w:style w:type="character" w:styleId="EndnoteReference">
    <w:name w:val="endnote reference"/>
    <w:basedOn w:val="DefaultParagraphFont"/>
    <w:uiPriority w:val="99"/>
    <w:semiHidden/>
    <w:unhideWhenUsed/>
    <w:rsid w:val="00DF2D7C"/>
    <w:rPr>
      <w:vertAlign w:val="superscript"/>
    </w:rPr>
  </w:style>
  <w:style w:type="character" w:styleId="Hyperlink">
    <w:name w:val="Hyperlink"/>
    <w:basedOn w:val="DefaultParagraphFont"/>
    <w:uiPriority w:val="99"/>
    <w:unhideWhenUsed/>
    <w:rsid w:val="008D7B77"/>
    <w:rPr>
      <w:color w:val="0563C1" w:themeColor="hyperlink"/>
      <w:u w:val="single"/>
    </w:rPr>
  </w:style>
  <w:style w:type="character" w:customStyle="1" w:styleId="UnresolvedMention1">
    <w:name w:val="Unresolved Mention1"/>
    <w:basedOn w:val="DefaultParagraphFont"/>
    <w:uiPriority w:val="99"/>
    <w:semiHidden/>
    <w:unhideWhenUsed/>
    <w:rsid w:val="008D7B77"/>
    <w:rPr>
      <w:color w:val="605E5C"/>
      <w:shd w:val="clear" w:color="auto" w:fill="E1DFDD"/>
    </w:rPr>
  </w:style>
  <w:style w:type="paragraph" w:styleId="Header">
    <w:name w:val="header"/>
    <w:basedOn w:val="Normal"/>
    <w:link w:val="HeaderChar"/>
    <w:uiPriority w:val="99"/>
    <w:unhideWhenUsed/>
    <w:rsid w:val="002E6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842"/>
  </w:style>
  <w:style w:type="paragraph" w:styleId="Footer">
    <w:name w:val="footer"/>
    <w:basedOn w:val="Normal"/>
    <w:link w:val="FooterChar"/>
    <w:uiPriority w:val="99"/>
    <w:unhideWhenUsed/>
    <w:rsid w:val="002E6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iamichel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2203B-658A-4CF6-BED3-5B67F849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Panevski</dc:creator>
  <cp:keywords/>
  <dc:description/>
  <cp:lastModifiedBy>Aleksandar Panevski</cp:lastModifiedBy>
  <cp:revision>12</cp:revision>
  <dcterms:created xsi:type="dcterms:W3CDTF">2020-04-02T11:33:00Z</dcterms:created>
  <dcterms:modified xsi:type="dcterms:W3CDTF">2020-04-08T11:36:00Z</dcterms:modified>
</cp:coreProperties>
</file>