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859"/>
        <w:gridCol w:w="4681"/>
        <w:gridCol w:w="2316"/>
      </w:tblGrid>
      <w:tr w:rsidR="00495227" w:rsidRPr="00B43F6B" w:rsidTr="00495227">
        <w:tc>
          <w:tcPr>
            <w:tcW w:w="1859" w:type="dxa"/>
            <w:shd w:val="clear" w:color="auto" w:fill="auto"/>
          </w:tcPr>
          <w:p w:rsidR="00495227" w:rsidRPr="00B43F6B" w:rsidRDefault="00495227" w:rsidP="00BE7C2A">
            <w:pPr>
              <w:pStyle w:val="Header"/>
              <w:jc w:val="center"/>
              <w:rPr>
                <w:noProof/>
                <w:lang w:val="mk-MK" w:eastAsia="en-GB"/>
              </w:rPr>
            </w:pPr>
            <w:r w:rsidRPr="00B43F6B">
              <w:rPr>
                <w:noProof/>
              </w:rPr>
              <w:drawing>
                <wp:inline distT="0" distB="0" distL="0" distR="0">
                  <wp:extent cx="752475" cy="504825"/>
                  <wp:effectExtent l="0" t="0" r="9525" b="9525"/>
                  <wp:docPr id="20" name="Picture 20" descr="EU zast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zasta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inline>
              </w:drawing>
            </w:r>
          </w:p>
          <w:p w:rsidR="00495227" w:rsidRPr="00B43F6B" w:rsidRDefault="00F96BCB" w:rsidP="00F96BCB">
            <w:pPr>
              <w:jc w:val="center"/>
              <w:rPr>
                <w:rFonts w:asciiTheme="majorHAnsi" w:hAnsiTheme="majorHAnsi"/>
                <w:b/>
                <w:color w:val="0070C0"/>
                <w:sz w:val="20"/>
                <w:szCs w:val="20"/>
                <w:lang w:val="mk-MK"/>
              </w:rPr>
            </w:pPr>
            <w:r w:rsidRPr="00B43F6B">
              <w:rPr>
                <w:rFonts w:asciiTheme="majorHAnsi" w:hAnsiTheme="majorHAnsi"/>
                <w:b/>
                <w:color w:val="0070C0"/>
                <w:sz w:val="20"/>
                <w:szCs w:val="20"/>
                <w:lang w:val="mk-MK"/>
              </w:rPr>
              <w:t xml:space="preserve">Проектот го финансира Европската унија </w:t>
            </w:r>
          </w:p>
        </w:tc>
        <w:tc>
          <w:tcPr>
            <w:tcW w:w="4681" w:type="dxa"/>
            <w:shd w:val="clear" w:color="auto" w:fill="auto"/>
          </w:tcPr>
          <w:p w:rsidR="00495227" w:rsidRPr="00B43F6B" w:rsidRDefault="00495227" w:rsidP="00BE7C2A">
            <w:pPr>
              <w:pStyle w:val="Header"/>
              <w:spacing w:line="276" w:lineRule="auto"/>
              <w:jc w:val="center"/>
              <w:rPr>
                <w:rStyle w:val="apple-converted-space"/>
                <w:rFonts w:ascii="Cambria" w:hAnsi="Cambria" w:cs="Arial"/>
                <w:b/>
                <w:bCs/>
                <w:i/>
                <w:color w:val="0070C0"/>
                <w:sz w:val="22"/>
                <w:szCs w:val="22"/>
                <w:lang w:val="mk-MK"/>
              </w:rPr>
            </w:pPr>
            <w:r w:rsidRPr="00B43F6B">
              <w:rPr>
                <w:rFonts w:ascii="Cambria" w:hAnsi="Cambria"/>
                <w:color w:val="0070C0"/>
                <w:sz w:val="22"/>
                <w:szCs w:val="22"/>
                <w:lang w:val="mk-MK"/>
              </w:rPr>
              <w:t>“</w:t>
            </w:r>
            <w:r w:rsidRPr="00B43F6B">
              <w:rPr>
                <w:rFonts w:ascii="Cambria" w:hAnsi="Cambria"/>
                <w:b/>
                <w:color w:val="0070C0"/>
                <w:sz w:val="22"/>
                <w:szCs w:val="22"/>
                <w:lang w:val="mk-MK"/>
              </w:rPr>
              <w:t xml:space="preserve">ALTER </w:t>
            </w:r>
            <w:r w:rsidRPr="00B43F6B">
              <w:rPr>
                <w:rFonts w:ascii="Cambria" w:hAnsi="Cambria"/>
                <w:color w:val="0070C0"/>
                <w:sz w:val="22"/>
                <w:szCs w:val="22"/>
                <w:lang w:val="mk-MK"/>
              </w:rPr>
              <w:t xml:space="preserve">- </w:t>
            </w:r>
            <w:r w:rsidRPr="00B43F6B">
              <w:rPr>
                <w:rFonts w:ascii="Cambria" w:hAnsi="Cambria"/>
                <w:b/>
                <w:color w:val="0070C0"/>
                <w:sz w:val="22"/>
                <w:szCs w:val="22"/>
                <w:lang w:val="mk-MK"/>
              </w:rPr>
              <w:t>A</w:t>
            </w:r>
            <w:r w:rsidRPr="00B43F6B">
              <w:rPr>
                <w:rFonts w:ascii="Cambria" w:hAnsi="Cambria"/>
                <w:color w:val="0070C0"/>
                <w:sz w:val="22"/>
                <w:szCs w:val="22"/>
                <w:lang w:val="mk-MK"/>
              </w:rPr>
              <w:t xml:space="preserve">ctive </w:t>
            </w:r>
            <w:r w:rsidRPr="00B43F6B">
              <w:rPr>
                <w:rFonts w:ascii="Cambria" w:hAnsi="Cambria"/>
                <w:b/>
                <w:color w:val="0070C0"/>
                <w:sz w:val="22"/>
                <w:szCs w:val="22"/>
                <w:lang w:val="mk-MK"/>
              </w:rPr>
              <w:t>L</w:t>
            </w:r>
            <w:r w:rsidRPr="00B43F6B">
              <w:rPr>
                <w:rFonts w:ascii="Cambria" w:hAnsi="Cambria"/>
                <w:color w:val="0070C0"/>
                <w:sz w:val="22"/>
                <w:szCs w:val="22"/>
                <w:lang w:val="mk-MK"/>
              </w:rPr>
              <w:t xml:space="preserve">ocal </w:t>
            </w:r>
            <w:r w:rsidRPr="00B43F6B">
              <w:rPr>
                <w:rFonts w:ascii="Cambria" w:hAnsi="Cambria"/>
                <w:b/>
                <w:color w:val="0070C0"/>
                <w:sz w:val="22"/>
                <w:szCs w:val="22"/>
                <w:lang w:val="mk-MK"/>
              </w:rPr>
              <w:t>T</w:t>
            </w:r>
            <w:r w:rsidRPr="00B43F6B">
              <w:rPr>
                <w:rFonts w:ascii="Cambria" w:hAnsi="Cambria"/>
                <w:color w:val="0070C0"/>
                <w:sz w:val="22"/>
                <w:szCs w:val="22"/>
                <w:lang w:val="mk-MK"/>
              </w:rPr>
              <w:t xml:space="preserve">erritories for </w:t>
            </w:r>
            <w:r w:rsidRPr="00B43F6B">
              <w:rPr>
                <w:rFonts w:ascii="Cambria" w:hAnsi="Cambria"/>
                <w:b/>
                <w:color w:val="0070C0"/>
                <w:sz w:val="22"/>
                <w:szCs w:val="22"/>
                <w:lang w:val="mk-MK"/>
              </w:rPr>
              <w:t>E</w:t>
            </w:r>
            <w:r w:rsidRPr="00B43F6B">
              <w:rPr>
                <w:rFonts w:ascii="Cambria" w:hAnsi="Cambria"/>
                <w:color w:val="0070C0"/>
                <w:sz w:val="22"/>
                <w:szCs w:val="22"/>
                <w:lang w:val="mk-MK"/>
              </w:rPr>
              <w:t xml:space="preserve">conomic development of </w:t>
            </w:r>
            <w:r w:rsidRPr="00B43F6B">
              <w:rPr>
                <w:rFonts w:ascii="Cambria" w:hAnsi="Cambria"/>
                <w:b/>
                <w:color w:val="0070C0"/>
                <w:sz w:val="22"/>
                <w:szCs w:val="22"/>
                <w:lang w:val="mk-MK"/>
              </w:rPr>
              <w:t>R</w:t>
            </w:r>
            <w:r w:rsidRPr="00B43F6B">
              <w:rPr>
                <w:rFonts w:ascii="Cambria" w:hAnsi="Cambria"/>
                <w:color w:val="0070C0"/>
                <w:sz w:val="22"/>
                <w:szCs w:val="22"/>
                <w:lang w:val="mk-MK"/>
              </w:rPr>
              <w:t>ural Areas”</w:t>
            </w:r>
          </w:p>
          <w:p w:rsidR="00495227" w:rsidRPr="00B43F6B" w:rsidRDefault="00F96BCB" w:rsidP="00F96BCB">
            <w:pPr>
              <w:pStyle w:val="Header"/>
              <w:jc w:val="center"/>
              <w:rPr>
                <w:caps/>
                <w:color w:val="FF9933"/>
                <w:lang w:val="mk-MK"/>
              </w:rPr>
            </w:pPr>
            <w:r w:rsidRPr="00B43F6B">
              <w:rPr>
                <w:rFonts w:ascii="Cambria" w:hAnsi="Cambria" w:cs="Arial"/>
                <w:b/>
                <w:caps/>
                <w:color w:val="0070C0"/>
                <w:sz w:val="22"/>
                <w:szCs w:val="22"/>
                <w:lang w:val="mk-MK"/>
              </w:rPr>
              <w:t xml:space="preserve">Грантова програма </w:t>
            </w:r>
          </w:p>
        </w:tc>
        <w:tc>
          <w:tcPr>
            <w:tcW w:w="2316" w:type="dxa"/>
            <w:shd w:val="clear" w:color="auto" w:fill="auto"/>
          </w:tcPr>
          <w:p w:rsidR="00495227" w:rsidRPr="00B43F6B" w:rsidRDefault="00495227" w:rsidP="00BE7C2A">
            <w:pPr>
              <w:pStyle w:val="Header"/>
              <w:rPr>
                <w:color w:val="FF9933"/>
                <w:lang w:val="mk-MK"/>
              </w:rPr>
            </w:pPr>
            <w:r w:rsidRPr="00B43F6B">
              <w:rPr>
                <w:noProof/>
                <w:color w:val="FF9933"/>
              </w:rPr>
              <w:drawing>
                <wp:inline distT="0" distB="0" distL="0" distR="0">
                  <wp:extent cx="1323975" cy="485775"/>
                  <wp:effectExtent l="0" t="0" r="9525" b="9525"/>
                  <wp:docPr id="19" name="Picture 19" descr="C:\IDA disk D\PROJEKTI\PROJEKTI U REALIZACIJI\ALTER\Logoi\Logo Alte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A disk D\PROJEKTI\PROJEKTI U REALIZACIJI\ALTER\Logoi\Logo Alter\logo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485775"/>
                          </a:xfrm>
                          <a:prstGeom prst="rect">
                            <a:avLst/>
                          </a:prstGeom>
                          <a:noFill/>
                          <a:ln>
                            <a:noFill/>
                          </a:ln>
                        </pic:spPr>
                      </pic:pic>
                    </a:graphicData>
                  </a:graphic>
                </wp:inline>
              </w:drawing>
            </w:r>
          </w:p>
        </w:tc>
      </w:tr>
    </w:tbl>
    <w:p w:rsidR="00282438" w:rsidRPr="00B43F6B" w:rsidRDefault="00282438" w:rsidP="00282438">
      <w:pPr>
        <w:pStyle w:val="NoSpacing"/>
        <w:ind w:left="1134"/>
        <w:rPr>
          <w:lang w:val="mk-MK"/>
        </w:rPr>
      </w:pPr>
    </w:p>
    <w:p w:rsidR="00495227" w:rsidRPr="00B43F6B" w:rsidRDefault="00495227" w:rsidP="00282438">
      <w:pPr>
        <w:pStyle w:val="NoSpacing"/>
        <w:ind w:left="1134"/>
        <w:rPr>
          <w:lang w:val="mk-MK"/>
        </w:rPr>
      </w:pPr>
    </w:p>
    <w:p w:rsidR="00495227" w:rsidRPr="00B43F6B" w:rsidRDefault="00495227" w:rsidP="00282438">
      <w:pPr>
        <w:pStyle w:val="NoSpacing"/>
        <w:ind w:left="1134"/>
        <w:rPr>
          <w:lang w:val="mk-MK"/>
        </w:rPr>
      </w:pPr>
    </w:p>
    <w:p w:rsidR="00495227" w:rsidRPr="00B43F6B" w:rsidRDefault="00495227" w:rsidP="00282438">
      <w:pPr>
        <w:pStyle w:val="NoSpacing"/>
        <w:ind w:left="1134"/>
        <w:rPr>
          <w:lang w:val="mk-MK"/>
        </w:rPr>
      </w:pPr>
    </w:p>
    <w:p w:rsidR="00282438" w:rsidRPr="00B43F6B" w:rsidRDefault="00282438" w:rsidP="00282438">
      <w:pPr>
        <w:pStyle w:val="Header"/>
        <w:tabs>
          <w:tab w:val="left" w:pos="2370"/>
        </w:tabs>
        <w:jc w:val="both"/>
        <w:rPr>
          <w:sz w:val="20"/>
          <w:lang w:val="mk-MK"/>
        </w:rPr>
      </w:pPr>
      <w:r w:rsidRPr="00B43F6B">
        <w:rPr>
          <w:sz w:val="20"/>
          <w:lang w:val="mk-MK"/>
        </w:rPr>
        <w:tab/>
      </w:r>
    </w:p>
    <w:p w:rsidR="00282438" w:rsidRPr="00B43F6B" w:rsidRDefault="00282438" w:rsidP="00282438">
      <w:pPr>
        <w:jc w:val="both"/>
        <w:rPr>
          <w:rFonts w:ascii="Arial" w:hAnsi="Arial"/>
          <w:sz w:val="16"/>
          <w:szCs w:val="16"/>
          <w:lang w:val="mk-MK"/>
        </w:rPr>
      </w:pPr>
      <w:r w:rsidRPr="00B43F6B">
        <w:rPr>
          <w:rFonts w:ascii="Arial" w:hAnsi="Arial"/>
          <w:sz w:val="16"/>
          <w:szCs w:val="16"/>
          <w:lang w:val="mk-MK"/>
        </w:rPr>
        <w:t xml:space="preserve">         </w:t>
      </w:r>
    </w:p>
    <w:p w:rsidR="00495227" w:rsidRPr="00B43F6B" w:rsidRDefault="00495227" w:rsidP="00282438">
      <w:pPr>
        <w:jc w:val="both"/>
        <w:rPr>
          <w:rFonts w:ascii="Arial" w:hAnsi="Arial"/>
          <w:sz w:val="16"/>
          <w:szCs w:val="16"/>
          <w:lang w:val="mk-MK"/>
        </w:rPr>
      </w:pPr>
    </w:p>
    <w:p w:rsidR="00282438" w:rsidRPr="00B43F6B" w:rsidRDefault="001B033D" w:rsidP="00495227">
      <w:pPr>
        <w:pStyle w:val="Title"/>
        <w:pBdr>
          <w:bottom w:val="none" w:sz="0" w:space="0" w:color="auto"/>
        </w:pBdr>
        <w:spacing w:after="0"/>
        <w:jc w:val="center"/>
        <w:rPr>
          <w:rFonts w:ascii="Calibri" w:hAnsi="Calibri"/>
          <w:b/>
          <w:szCs w:val="46"/>
          <w:lang w:val="mk-MK"/>
        </w:rPr>
      </w:pPr>
      <w:r w:rsidRPr="00B43F6B">
        <w:rPr>
          <w:rFonts w:ascii="Calibri" w:hAnsi="Calibri"/>
          <w:b/>
          <w:szCs w:val="46"/>
          <w:lang w:val="mk-MK"/>
        </w:rPr>
        <w:t xml:space="preserve">Граѓанско општество </w:t>
      </w:r>
    </w:p>
    <w:p w:rsidR="00AF7A58" w:rsidRPr="00B43F6B" w:rsidRDefault="00CF64E9" w:rsidP="00CF64E9">
      <w:pPr>
        <w:pStyle w:val="Title"/>
        <w:pBdr>
          <w:bottom w:val="none" w:sz="0" w:space="0" w:color="auto"/>
        </w:pBdr>
        <w:spacing w:after="0"/>
        <w:jc w:val="center"/>
        <w:rPr>
          <w:rFonts w:ascii="Calibri" w:hAnsi="Calibri"/>
          <w:szCs w:val="46"/>
          <w:lang w:val="mk-MK"/>
        </w:rPr>
      </w:pPr>
      <w:r w:rsidRPr="00B43F6B">
        <w:rPr>
          <w:rFonts w:ascii="Calibri" w:hAnsi="Calibri"/>
          <w:szCs w:val="46"/>
          <w:lang w:val="mk-MK"/>
        </w:rPr>
        <w:t xml:space="preserve">Грантова програма за изградба на капацитетите и застапување </w:t>
      </w:r>
    </w:p>
    <w:p w:rsidR="00AF7A58" w:rsidRPr="00B43F6B" w:rsidRDefault="00AF7A58" w:rsidP="00DB06DA">
      <w:pPr>
        <w:rPr>
          <w:rFonts w:ascii="Calibri" w:hAnsi="Calibri"/>
          <w:lang w:val="mk-MK"/>
        </w:rPr>
      </w:pPr>
    </w:p>
    <w:p w:rsidR="00282438" w:rsidRPr="00B43F6B" w:rsidRDefault="00282438" w:rsidP="00DB06DA">
      <w:pPr>
        <w:rPr>
          <w:rFonts w:ascii="Calibri" w:hAnsi="Calibri"/>
          <w:lang w:val="mk-MK"/>
        </w:rPr>
      </w:pPr>
    </w:p>
    <w:p w:rsidR="00495227" w:rsidRPr="00B43F6B" w:rsidRDefault="00495227" w:rsidP="00DB06DA">
      <w:pPr>
        <w:rPr>
          <w:rFonts w:ascii="Calibri" w:hAnsi="Calibri"/>
          <w:lang w:val="mk-MK"/>
        </w:rPr>
      </w:pPr>
    </w:p>
    <w:p w:rsidR="00495227" w:rsidRPr="00B43F6B" w:rsidRDefault="00495227" w:rsidP="00DB06DA">
      <w:pPr>
        <w:rPr>
          <w:rFonts w:ascii="Calibri" w:hAnsi="Calibri"/>
          <w:lang w:val="mk-MK"/>
        </w:rPr>
      </w:pPr>
    </w:p>
    <w:p w:rsidR="00495227" w:rsidRPr="00B43F6B" w:rsidRDefault="00495227" w:rsidP="00DB06DA">
      <w:pPr>
        <w:rPr>
          <w:rFonts w:ascii="Calibri" w:hAnsi="Calibri"/>
          <w:lang w:val="mk-MK"/>
        </w:rPr>
      </w:pPr>
    </w:p>
    <w:p w:rsidR="00495227" w:rsidRPr="00B43F6B" w:rsidRDefault="00495227" w:rsidP="00DB06DA">
      <w:pPr>
        <w:rPr>
          <w:rFonts w:ascii="Calibri" w:hAnsi="Calibri"/>
          <w:lang w:val="mk-MK"/>
        </w:rPr>
      </w:pPr>
    </w:p>
    <w:p w:rsidR="00282438" w:rsidRPr="00B43F6B" w:rsidRDefault="00282438" w:rsidP="00DB06DA">
      <w:pPr>
        <w:rPr>
          <w:rFonts w:ascii="Calibri" w:hAnsi="Calibri"/>
          <w:lang w:val="mk-MK"/>
        </w:rPr>
      </w:pPr>
    </w:p>
    <w:p w:rsidR="00495227" w:rsidRPr="00B43F6B" w:rsidRDefault="00495227" w:rsidP="00DB06DA">
      <w:pPr>
        <w:rPr>
          <w:rFonts w:ascii="Calibri" w:hAnsi="Calibri"/>
          <w:lang w:val="mk-MK"/>
        </w:rPr>
      </w:pPr>
    </w:p>
    <w:p w:rsidR="00495227" w:rsidRPr="00B43F6B" w:rsidRDefault="00495227" w:rsidP="00DB06DA">
      <w:pPr>
        <w:rPr>
          <w:rFonts w:ascii="Calibri" w:hAnsi="Calibri"/>
          <w:lang w:val="mk-MK"/>
        </w:rPr>
      </w:pPr>
    </w:p>
    <w:p w:rsidR="00495227" w:rsidRPr="00B43F6B" w:rsidRDefault="00495227" w:rsidP="00DB06DA">
      <w:pPr>
        <w:rPr>
          <w:rFonts w:ascii="Calibri" w:hAnsi="Calibri"/>
          <w:lang w:val="mk-MK"/>
        </w:rPr>
      </w:pPr>
    </w:p>
    <w:p w:rsidR="00495227" w:rsidRPr="00B43F6B" w:rsidRDefault="00495227" w:rsidP="00DB06DA">
      <w:pPr>
        <w:rPr>
          <w:rFonts w:ascii="Calibri" w:hAnsi="Calibri"/>
          <w:lang w:val="mk-MK"/>
        </w:rPr>
      </w:pPr>
    </w:p>
    <w:p w:rsidR="00AD1A43" w:rsidRPr="00B43F6B" w:rsidRDefault="00AD1A43" w:rsidP="00DB06DA">
      <w:pPr>
        <w:rPr>
          <w:rFonts w:ascii="Calibri" w:hAnsi="Calibri"/>
          <w:lang w:val="mk-MK"/>
        </w:rPr>
      </w:pPr>
    </w:p>
    <w:p w:rsidR="00495227" w:rsidRPr="00B43F6B" w:rsidRDefault="00495227" w:rsidP="00DB06DA">
      <w:pPr>
        <w:rPr>
          <w:rFonts w:ascii="Calibri" w:hAnsi="Calibri"/>
          <w:lang w:val="mk-MK"/>
        </w:rPr>
      </w:pPr>
    </w:p>
    <w:p w:rsidR="00282438" w:rsidRPr="00B43F6B" w:rsidRDefault="00282438" w:rsidP="00282438">
      <w:pPr>
        <w:pStyle w:val="Footer"/>
        <w:jc w:val="center"/>
        <w:rPr>
          <w:lang w:val="mk-MK"/>
        </w:rPr>
      </w:pPr>
    </w:p>
    <w:tbl>
      <w:tblPr>
        <w:tblW w:w="0" w:type="auto"/>
        <w:tblLayout w:type="fixed"/>
        <w:tblLook w:val="04A0" w:firstRow="1" w:lastRow="0" w:firstColumn="1" w:lastColumn="0" w:noHBand="0" w:noVBand="1"/>
      </w:tblPr>
      <w:tblGrid>
        <w:gridCol w:w="1908"/>
        <w:gridCol w:w="282"/>
        <w:gridCol w:w="1193"/>
        <w:gridCol w:w="1585"/>
        <w:gridCol w:w="270"/>
        <w:gridCol w:w="1800"/>
        <w:gridCol w:w="158"/>
        <w:gridCol w:w="2084"/>
      </w:tblGrid>
      <w:tr w:rsidR="00495227" w:rsidRPr="00B43F6B" w:rsidTr="00BE7C2A">
        <w:tc>
          <w:tcPr>
            <w:tcW w:w="2190" w:type="dxa"/>
            <w:gridSpan w:val="2"/>
            <w:shd w:val="clear" w:color="auto" w:fill="auto"/>
          </w:tcPr>
          <w:p w:rsidR="00495227" w:rsidRPr="00B43F6B" w:rsidRDefault="00495227" w:rsidP="00BE7C2A">
            <w:pPr>
              <w:tabs>
                <w:tab w:val="left" w:pos="2945"/>
              </w:tabs>
              <w:jc w:val="center"/>
              <w:rPr>
                <w:lang w:val="mk-MK"/>
              </w:rPr>
            </w:pPr>
            <w:r w:rsidRPr="00B43F6B">
              <w:rPr>
                <w:noProof/>
                <w:sz w:val="20"/>
                <w:szCs w:val="20"/>
              </w:rPr>
              <w:drawing>
                <wp:inline distT="0" distB="0" distL="0" distR="0">
                  <wp:extent cx="733425" cy="504825"/>
                  <wp:effectExtent l="0" t="0" r="9525" b="9525"/>
                  <wp:docPr id="16" name="Picture 16" descr="Mreza-Logo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reza-Logo_E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504825"/>
                          </a:xfrm>
                          <a:prstGeom prst="rect">
                            <a:avLst/>
                          </a:prstGeom>
                          <a:noFill/>
                          <a:ln>
                            <a:noFill/>
                          </a:ln>
                        </pic:spPr>
                      </pic:pic>
                    </a:graphicData>
                  </a:graphic>
                </wp:inline>
              </w:drawing>
            </w:r>
          </w:p>
        </w:tc>
        <w:tc>
          <w:tcPr>
            <w:tcW w:w="2778" w:type="dxa"/>
            <w:gridSpan w:val="2"/>
            <w:shd w:val="clear" w:color="auto" w:fill="auto"/>
          </w:tcPr>
          <w:p w:rsidR="00495227" w:rsidRPr="00B43F6B" w:rsidRDefault="00495227" w:rsidP="00BE7C2A">
            <w:pPr>
              <w:tabs>
                <w:tab w:val="left" w:pos="2945"/>
              </w:tabs>
              <w:jc w:val="center"/>
              <w:rPr>
                <w:lang w:val="mk-MK"/>
              </w:rPr>
            </w:pPr>
            <w:r w:rsidRPr="00B43F6B">
              <w:rPr>
                <w:noProof/>
                <w:sz w:val="20"/>
                <w:szCs w:val="20"/>
              </w:rPr>
              <w:drawing>
                <wp:inline distT="0" distB="0" distL="0" distR="0">
                  <wp:extent cx="1466850" cy="561975"/>
                  <wp:effectExtent l="0" t="0" r="0" b="9525"/>
                  <wp:docPr id="15" name="Picture 15" descr="i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d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6850" cy="561975"/>
                          </a:xfrm>
                          <a:prstGeom prst="rect">
                            <a:avLst/>
                          </a:prstGeom>
                          <a:noFill/>
                          <a:ln>
                            <a:noFill/>
                          </a:ln>
                        </pic:spPr>
                      </pic:pic>
                    </a:graphicData>
                  </a:graphic>
                </wp:inline>
              </w:drawing>
            </w:r>
          </w:p>
        </w:tc>
        <w:tc>
          <w:tcPr>
            <w:tcW w:w="2070" w:type="dxa"/>
            <w:gridSpan w:val="2"/>
            <w:shd w:val="clear" w:color="auto" w:fill="auto"/>
          </w:tcPr>
          <w:p w:rsidR="00495227" w:rsidRPr="00B43F6B" w:rsidRDefault="00495227" w:rsidP="00BE7C2A">
            <w:pPr>
              <w:tabs>
                <w:tab w:val="left" w:pos="2945"/>
              </w:tabs>
              <w:jc w:val="center"/>
              <w:rPr>
                <w:lang w:val="mk-MK"/>
              </w:rPr>
            </w:pPr>
            <w:r w:rsidRPr="00B43F6B">
              <w:rPr>
                <w:noProof/>
                <w:color w:val="365F91"/>
              </w:rPr>
              <w:drawing>
                <wp:inline distT="0" distB="0" distL="0" distR="0">
                  <wp:extent cx="1076325" cy="628650"/>
                  <wp:effectExtent l="0" t="0" r="9525" b="0"/>
                  <wp:docPr id="14" name="Picture 14" descr="LOGO MR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MREZ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628650"/>
                          </a:xfrm>
                          <a:prstGeom prst="rect">
                            <a:avLst/>
                          </a:prstGeom>
                          <a:noFill/>
                          <a:ln>
                            <a:noFill/>
                          </a:ln>
                        </pic:spPr>
                      </pic:pic>
                    </a:graphicData>
                  </a:graphic>
                </wp:inline>
              </w:drawing>
            </w:r>
          </w:p>
        </w:tc>
        <w:tc>
          <w:tcPr>
            <w:tcW w:w="2242" w:type="dxa"/>
            <w:gridSpan w:val="2"/>
            <w:shd w:val="clear" w:color="auto" w:fill="auto"/>
          </w:tcPr>
          <w:p w:rsidR="00495227" w:rsidRPr="00B43F6B" w:rsidRDefault="00495227" w:rsidP="00BE7C2A">
            <w:pPr>
              <w:tabs>
                <w:tab w:val="left" w:pos="2945"/>
              </w:tabs>
              <w:jc w:val="center"/>
              <w:rPr>
                <w:lang w:val="mk-MK"/>
              </w:rPr>
            </w:pPr>
            <w:r w:rsidRPr="00B43F6B">
              <w:rPr>
                <w:noProof/>
                <w:sz w:val="20"/>
                <w:szCs w:val="20"/>
              </w:rPr>
              <w:drawing>
                <wp:inline distT="0" distB="0" distL="0" distR="0">
                  <wp:extent cx="1266825" cy="619125"/>
                  <wp:effectExtent l="0" t="0" r="9525" b="9525"/>
                  <wp:docPr id="13" name="Picture 13" descr="HMR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MRR-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619125"/>
                          </a:xfrm>
                          <a:prstGeom prst="rect">
                            <a:avLst/>
                          </a:prstGeom>
                          <a:noFill/>
                          <a:ln>
                            <a:noFill/>
                          </a:ln>
                        </pic:spPr>
                      </pic:pic>
                    </a:graphicData>
                  </a:graphic>
                </wp:inline>
              </w:drawing>
            </w:r>
          </w:p>
        </w:tc>
      </w:tr>
      <w:tr w:rsidR="00495227" w:rsidRPr="00B43F6B" w:rsidTr="00BE7C2A">
        <w:tc>
          <w:tcPr>
            <w:tcW w:w="1908" w:type="dxa"/>
            <w:shd w:val="clear" w:color="auto" w:fill="auto"/>
          </w:tcPr>
          <w:p w:rsidR="00495227" w:rsidRPr="00B43F6B" w:rsidRDefault="00495227" w:rsidP="00BE7C2A">
            <w:pPr>
              <w:tabs>
                <w:tab w:val="left" w:pos="2945"/>
              </w:tabs>
              <w:jc w:val="center"/>
              <w:rPr>
                <w:noProof/>
                <w:sz w:val="20"/>
                <w:szCs w:val="20"/>
                <w:lang w:val="mk-MK"/>
              </w:rPr>
            </w:pPr>
            <w:r w:rsidRPr="00B43F6B">
              <w:rPr>
                <w:noProof/>
                <w:color w:val="365F91"/>
              </w:rPr>
              <w:drawing>
                <wp:inline distT="0" distB="0" distL="0" distR="0">
                  <wp:extent cx="1095375" cy="647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5375" cy="647700"/>
                          </a:xfrm>
                          <a:prstGeom prst="rect">
                            <a:avLst/>
                          </a:prstGeom>
                          <a:noFill/>
                          <a:ln>
                            <a:noFill/>
                          </a:ln>
                        </pic:spPr>
                      </pic:pic>
                    </a:graphicData>
                  </a:graphic>
                </wp:inline>
              </w:drawing>
            </w:r>
          </w:p>
        </w:tc>
        <w:tc>
          <w:tcPr>
            <w:tcW w:w="1475" w:type="dxa"/>
            <w:gridSpan w:val="2"/>
            <w:shd w:val="clear" w:color="auto" w:fill="auto"/>
          </w:tcPr>
          <w:p w:rsidR="00495227" w:rsidRPr="00B43F6B" w:rsidRDefault="00495227" w:rsidP="00BE7C2A">
            <w:pPr>
              <w:tabs>
                <w:tab w:val="left" w:pos="2945"/>
              </w:tabs>
              <w:jc w:val="center"/>
              <w:rPr>
                <w:lang w:val="mk-MK"/>
              </w:rPr>
            </w:pPr>
            <w:r w:rsidRPr="00B43F6B">
              <w:rPr>
                <w:noProof/>
                <w:sz w:val="20"/>
                <w:szCs w:val="20"/>
              </w:rPr>
              <w:drawing>
                <wp:inline distT="0" distB="0" distL="0" distR="0">
                  <wp:extent cx="904875" cy="638175"/>
                  <wp:effectExtent l="0" t="0" r="9525" b="9525"/>
                  <wp:docPr id="11" name="Picture 11" descr="LLF logo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LF logo_e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tc>
        <w:tc>
          <w:tcPr>
            <w:tcW w:w="1855" w:type="dxa"/>
            <w:gridSpan w:val="2"/>
            <w:shd w:val="clear" w:color="auto" w:fill="auto"/>
          </w:tcPr>
          <w:p w:rsidR="00495227" w:rsidRPr="00B43F6B" w:rsidRDefault="00495227" w:rsidP="00BE7C2A">
            <w:pPr>
              <w:tabs>
                <w:tab w:val="left" w:pos="2945"/>
              </w:tabs>
              <w:jc w:val="center"/>
              <w:rPr>
                <w:lang w:val="mk-MK"/>
              </w:rPr>
            </w:pPr>
            <w:r w:rsidRPr="00B43F6B">
              <w:rPr>
                <w:noProof/>
                <w:sz w:val="20"/>
                <w:szCs w:val="20"/>
              </w:rPr>
              <w:drawing>
                <wp:inline distT="0" distB="0" distL="0" distR="0">
                  <wp:extent cx="971550" cy="647700"/>
                  <wp:effectExtent l="0" t="0" r="0" b="0"/>
                  <wp:docPr id="5" name="Picture 5" descr="Logo_Mac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ac networ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647700"/>
                          </a:xfrm>
                          <a:prstGeom prst="rect">
                            <a:avLst/>
                          </a:prstGeom>
                          <a:noFill/>
                          <a:ln>
                            <a:noFill/>
                          </a:ln>
                        </pic:spPr>
                      </pic:pic>
                    </a:graphicData>
                  </a:graphic>
                </wp:inline>
              </w:drawing>
            </w:r>
          </w:p>
        </w:tc>
        <w:tc>
          <w:tcPr>
            <w:tcW w:w="1958" w:type="dxa"/>
            <w:gridSpan w:val="2"/>
            <w:shd w:val="clear" w:color="auto" w:fill="auto"/>
          </w:tcPr>
          <w:p w:rsidR="00495227" w:rsidRPr="00B43F6B" w:rsidRDefault="00495227" w:rsidP="00BE7C2A">
            <w:pPr>
              <w:tabs>
                <w:tab w:val="left" w:pos="2945"/>
              </w:tabs>
              <w:jc w:val="center"/>
              <w:rPr>
                <w:lang w:val="mk-MK"/>
              </w:rPr>
            </w:pPr>
            <w:r w:rsidRPr="00B43F6B">
              <w:rPr>
                <w:noProof/>
                <w:sz w:val="20"/>
                <w:szCs w:val="20"/>
              </w:rPr>
              <w:drawing>
                <wp:inline distT="0" distB="0" distL="0" distR="0">
                  <wp:extent cx="1247775" cy="428625"/>
                  <wp:effectExtent l="0" t="0" r="9525" b="9525"/>
                  <wp:docPr id="4" name="Picture 4" descr="Logo CG mr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G mrez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7775" cy="428625"/>
                          </a:xfrm>
                          <a:prstGeom prst="rect">
                            <a:avLst/>
                          </a:prstGeom>
                          <a:noFill/>
                          <a:ln>
                            <a:noFill/>
                          </a:ln>
                        </pic:spPr>
                      </pic:pic>
                    </a:graphicData>
                  </a:graphic>
                </wp:inline>
              </w:drawing>
            </w:r>
          </w:p>
        </w:tc>
        <w:tc>
          <w:tcPr>
            <w:tcW w:w="2084" w:type="dxa"/>
            <w:shd w:val="clear" w:color="auto" w:fill="auto"/>
          </w:tcPr>
          <w:p w:rsidR="00495227" w:rsidRPr="00B43F6B" w:rsidRDefault="00495227" w:rsidP="00BE7C2A">
            <w:pPr>
              <w:tabs>
                <w:tab w:val="left" w:pos="2945"/>
              </w:tabs>
              <w:jc w:val="center"/>
              <w:rPr>
                <w:lang w:val="mk-MK"/>
              </w:rPr>
            </w:pPr>
            <w:r w:rsidRPr="00B43F6B">
              <w:rPr>
                <w:noProof/>
              </w:rPr>
              <w:drawing>
                <wp:inline distT="0" distB="0" distL="0" distR="0">
                  <wp:extent cx="1066800" cy="600075"/>
                  <wp:effectExtent l="0" t="0" r="0" b="9525"/>
                  <wp:docPr id="3" name="Picture 3" descr="tkv logo (yazİlİ)DFT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kv logo (yazİlİ)DFTLİ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0" cy="600075"/>
                          </a:xfrm>
                          <a:prstGeom prst="rect">
                            <a:avLst/>
                          </a:prstGeom>
                          <a:noFill/>
                          <a:ln>
                            <a:noFill/>
                          </a:ln>
                        </pic:spPr>
                      </pic:pic>
                    </a:graphicData>
                  </a:graphic>
                </wp:inline>
              </w:drawing>
            </w:r>
          </w:p>
        </w:tc>
      </w:tr>
      <w:tr w:rsidR="00495227" w:rsidRPr="00B43F6B" w:rsidTr="00BE7C2A">
        <w:trPr>
          <w:trHeight w:val="313"/>
        </w:trPr>
        <w:tc>
          <w:tcPr>
            <w:tcW w:w="9280" w:type="dxa"/>
            <w:gridSpan w:val="8"/>
            <w:shd w:val="clear" w:color="auto" w:fill="auto"/>
          </w:tcPr>
          <w:p w:rsidR="00495227" w:rsidRPr="00B43F6B" w:rsidRDefault="00F96BCB" w:rsidP="00F96BCB">
            <w:pPr>
              <w:spacing w:before="240" w:after="120"/>
              <w:jc w:val="center"/>
              <w:rPr>
                <w:rFonts w:ascii="Cambria" w:hAnsi="Cambria" w:cs="HelveticaNeueLTStd-Md"/>
                <w:color w:val="0070C0"/>
                <w:sz w:val="22"/>
                <w:szCs w:val="22"/>
                <w:lang w:val="mk-MK" w:bidi="fr-FR"/>
              </w:rPr>
            </w:pPr>
            <w:r w:rsidRPr="00B43F6B">
              <w:rPr>
                <w:rFonts w:ascii="Cambria" w:hAnsi="Cambria" w:cs="HelveticaNeueLTStd-Md"/>
                <w:color w:val="0070C0"/>
                <w:sz w:val="22"/>
                <w:szCs w:val="22"/>
                <w:lang w:val="mk-MK" w:bidi="fr-FR"/>
              </w:rPr>
              <w:t xml:space="preserve">Документот е изработен со финансиска помош од Европската унија. Содржината на документот е одговорност само на </w:t>
            </w:r>
            <w:r w:rsidR="00AE299D" w:rsidRPr="00B43F6B">
              <w:rPr>
                <w:rFonts w:ascii="Cambria" w:hAnsi="Cambria" w:cs="HelveticaNeueLTStd-Md"/>
                <w:color w:val="0070C0"/>
                <w:sz w:val="22"/>
                <w:szCs w:val="22"/>
                <w:lang w:val="mk-MK" w:bidi="fr-FR"/>
              </w:rPr>
              <w:t>Мрежата</w:t>
            </w:r>
            <w:r w:rsidRPr="00B43F6B">
              <w:rPr>
                <w:rFonts w:ascii="Cambria" w:hAnsi="Cambria" w:cs="HelveticaNeueLTStd-Md"/>
                <w:color w:val="0070C0"/>
                <w:sz w:val="22"/>
                <w:szCs w:val="22"/>
                <w:lang w:val="mk-MK" w:bidi="fr-FR"/>
              </w:rPr>
              <w:t xml:space="preserve"> за рурален развој на Србија и под никакви околности не може да се смета дека го огледува ставот на Европската унија. </w:t>
            </w:r>
          </w:p>
          <w:p w:rsidR="00F96BCB" w:rsidRPr="00B43F6B" w:rsidRDefault="00F96BCB" w:rsidP="00F96BCB">
            <w:pPr>
              <w:spacing w:before="240" w:after="120"/>
              <w:jc w:val="center"/>
              <w:rPr>
                <w:rFonts w:ascii="Cambria" w:hAnsi="Cambria" w:cs="HelveticaNeueLTStd-Md"/>
                <w:sz w:val="22"/>
                <w:szCs w:val="22"/>
                <w:lang w:val="mk-MK" w:bidi="fr-FR"/>
              </w:rPr>
            </w:pPr>
          </w:p>
        </w:tc>
      </w:tr>
    </w:tbl>
    <w:p w:rsidR="00282438" w:rsidRPr="00B43F6B" w:rsidRDefault="00282438" w:rsidP="001F7557">
      <w:pPr>
        <w:jc w:val="both"/>
        <w:rPr>
          <w:rFonts w:ascii="Calibri" w:hAnsi="Calibri"/>
          <w:lang w:val="mk-MK"/>
        </w:rPr>
      </w:pPr>
    </w:p>
    <w:p w:rsidR="00AD1A43" w:rsidRPr="00B43F6B" w:rsidRDefault="00CF64E9" w:rsidP="00AD1A43">
      <w:pPr>
        <w:spacing w:after="240"/>
        <w:jc w:val="center"/>
        <w:rPr>
          <w:rFonts w:asciiTheme="majorHAnsi" w:hAnsiTheme="majorHAnsi" w:cstheme="majorHAnsi"/>
          <w:b/>
          <w:lang w:val="mk-MK"/>
        </w:rPr>
      </w:pPr>
      <w:r w:rsidRPr="00B43F6B">
        <w:rPr>
          <w:rFonts w:asciiTheme="majorHAnsi" w:hAnsiTheme="majorHAnsi" w:cstheme="majorHAnsi"/>
          <w:b/>
          <w:lang w:val="mk-MK"/>
        </w:rPr>
        <w:t xml:space="preserve">Содржина </w:t>
      </w:r>
    </w:p>
    <w:p w:rsidR="00BF4498" w:rsidRPr="00B43F6B" w:rsidRDefault="006574A3">
      <w:pPr>
        <w:pStyle w:val="TOC1"/>
        <w:tabs>
          <w:tab w:val="left" w:pos="480"/>
          <w:tab w:val="right" w:leader="dot" w:pos="8630"/>
        </w:tabs>
        <w:rPr>
          <w:noProof/>
          <w:sz w:val="22"/>
          <w:szCs w:val="22"/>
          <w:lang w:val="mk-MK"/>
        </w:rPr>
      </w:pPr>
      <w:r w:rsidRPr="00B43F6B">
        <w:rPr>
          <w:rFonts w:asciiTheme="majorHAnsi" w:hAnsiTheme="majorHAnsi" w:cstheme="majorHAnsi"/>
          <w:lang w:val="mk-MK"/>
        </w:rPr>
        <w:fldChar w:fldCharType="begin"/>
      </w:r>
      <w:r w:rsidR="00AD1A43" w:rsidRPr="00B43F6B">
        <w:rPr>
          <w:rFonts w:asciiTheme="majorHAnsi" w:hAnsiTheme="majorHAnsi" w:cstheme="majorHAnsi"/>
          <w:lang w:val="mk-MK"/>
        </w:rPr>
        <w:instrText xml:space="preserve"> TOC \o "1-3" \h \z \u </w:instrText>
      </w:r>
      <w:r w:rsidRPr="00B43F6B">
        <w:rPr>
          <w:rFonts w:asciiTheme="majorHAnsi" w:hAnsiTheme="majorHAnsi" w:cstheme="majorHAnsi"/>
          <w:lang w:val="mk-MK"/>
        </w:rPr>
        <w:fldChar w:fldCharType="separate"/>
      </w:r>
      <w:hyperlink w:anchor="_Toc498020880" w:history="1">
        <w:r w:rsidR="00BF4498" w:rsidRPr="00B43F6B">
          <w:rPr>
            <w:rStyle w:val="Hyperlink"/>
            <w:rFonts w:cstheme="majorHAnsi"/>
            <w:noProof/>
            <w:lang w:val="mk-MK"/>
          </w:rPr>
          <w:t>1.</w:t>
        </w:r>
        <w:r w:rsidR="00BF4498" w:rsidRPr="00B43F6B">
          <w:rPr>
            <w:noProof/>
            <w:sz w:val="22"/>
            <w:szCs w:val="22"/>
            <w:lang w:val="mk-MK"/>
          </w:rPr>
          <w:tab/>
        </w:r>
        <w:r w:rsidR="00BF4498" w:rsidRPr="00B43F6B">
          <w:rPr>
            <w:rStyle w:val="Hyperlink"/>
            <w:rFonts w:cstheme="majorHAnsi"/>
            <w:noProof/>
            <w:lang w:val="mk-MK"/>
          </w:rPr>
          <w:t>ALTER – Активни локални територии за економски развој на руралните области (</w:t>
        </w:r>
        <w:r w:rsidR="00BF4498" w:rsidRPr="00B43F6B">
          <w:rPr>
            <w:rStyle w:val="Hyperlink"/>
            <w:rFonts w:cstheme="majorHAnsi"/>
            <w:i/>
            <w:noProof/>
            <w:lang w:val="mk-MK"/>
          </w:rPr>
          <w:t>Active Local Territories for Economic development of Rural Areas</w:t>
        </w:r>
        <w:r w:rsidR="00BF4498" w:rsidRPr="00B43F6B">
          <w:rPr>
            <w:rStyle w:val="Hyperlink"/>
            <w:rFonts w:cstheme="majorHAnsi"/>
            <w:noProof/>
            <w:lang w:val="mk-MK"/>
          </w:rPr>
          <w:t>)</w:t>
        </w:r>
        <w:r w:rsidR="00BF4498" w:rsidRPr="00B43F6B">
          <w:rPr>
            <w:noProof/>
            <w:webHidden/>
            <w:lang w:val="mk-MK"/>
          </w:rPr>
          <w:tab/>
        </w:r>
        <w:r w:rsidRPr="00B43F6B">
          <w:rPr>
            <w:noProof/>
            <w:webHidden/>
            <w:lang w:val="mk-MK"/>
          </w:rPr>
          <w:fldChar w:fldCharType="begin"/>
        </w:r>
        <w:r w:rsidR="00BF4498" w:rsidRPr="00B43F6B">
          <w:rPr>
            <w:noProof/>
            <w:webHidden/>
            <w:lang w:val="mk-MK"/>
          </w:rPr>
          <w:instrText xml:space="preserve"> PAGEREF _Toc498020880 \h </w:instrText>
        </w:r>
        <w:r w:rsidRPr="00B43F6B">
          <w:rPr>
            <w:noProof/>
            <w:webHidden/>
            <w:lang w:val="mk-MK"/>
          </w:rPr>
        </w:r>
        <w:r w:rsidRPr="00B43F6B">
          <w:rPr>
            <w:noProof/>
            <w:webHidden/>
            <w:lang w:val="mk-MK"/>
          </w:rPr>
          <w:fldChar w:fldCharType="separate"/>
        </w:r>
        <w:r w:rsidR="00BF4498" w:rsidRPr="00B43F6B">
          <w:rPr>
            <w:noProof/>
            <w:webHidden/>
            <w:lang w:val="mk-MK"/>
          </w:rPr>
          <w:t>3</w:t>
        </w:r>
        <w:r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881" w:history="1">
        <w:r w:rsidR="00BF4498" w:rsidRPr="00B43F6B">
          <w:rPr>
            <w:rStyle w:val="Hyperlink"/>
            <w:noProof/>
            <w:lang w:val="mk-MK"/>
          </w:rPr>
          <w:t>1.1.</w:t>
        </w:r>
        <w:r w:rsidR="00BF4498" w:rsidRPr="00B43F6B">
          <w:rPr>
            <w:noProof/>
            <w:sz w:val="22"/>
            <w:szCs w:val="22"/>
            <w:lang w:val="mk-MK"/>
          </w:rPr>
          <w:tab/>
        </w:r>
        <w:r w:rsidR="00BF4498" w:rsidRPr="00B43F6B">
          <w:rPr>
            <w:rStyle w:val="Hyperlink"/>
            <w:noProof/>
            <w:lang w:val="mk-MK"/>
          </w:rPr>
          <w:t>Цел на програмта</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_Toc498020881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5</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882" w:history="1">
        <w:r w:rsidR="00BF4498" w:rsidRPr="00B43F6B">
          <w:rPr>
            <w:rStyle w:val="Hyperlink"/>
            <w:rFonts w:ascii="Calibri" w:hAnsi="Calibri"/>
            <w:noProof/>
            <w:lang w:val="mk-MK"/>
          </w:rPr>
          <w:t>1.2.</w:t>
        </w:r>
        <w:r w:rsidR="00BF4498" w:rsidRPr="00B43F6B">
          <w:rPr>
            <w:noProof/>
            <w:sz w:val="22"/>
            <w:szCs w:val="22"/>
            <w:lang w:val="mk-MK"/>
          </w:rPr>
          <w:tab/>
        </w:r>
        <w:r w:rsidR="00BF4498" w:rsidRPr="00B43F6B">
          <w:rPr>
            <w:rStyle w:val="Hyperlink"/>
            <w:noProof/>
            <w:lang w:val="mk-MK"/>
          </w:rPr>
          <w:t>Очекувани исходи од Акцијата</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_Toc498020882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5</w:t>
        </w:r>
        <w:r w:rsidR="006574A3" w:rsidRPr="00B43F6B">
          <w:rPr>
            <w:noProof/>
            <w:webHidden/>
            <w:lang w:val="mk-MK"/>
          </w:rPr>
          <w:fldChar w:fldCharType="end"/>
        </w:r>
      </w:hyperlink>
    </w:p>
    <w:p w:rsidR="00BF4498" w:rsidRPr="00B43F6B" w:rsidRDefault="001E69D4">
      <w:pPr>
        <w:pStyle w:val="TOC1"/>
        <w:tabs>
          <w:tab w:val="left" w:pos="480"/>
          <w:tab w:val="right" w:leader="dot" w:pos="8630"/>
        </w:tabs>
        <w:rPr>
          <w:noProof/>
          <w:sz w:val="22"/>
          <w:szCs w:val="22"/>
          <w:lang w:val="mk-MK"/>
        </w:rPr>
      </w:pPr>
      <w:hyperlink w:anchor="_Toc498020883" w:history="1">
        <w:r w:rsidR="00BF4498" w:rsidRPr="00B43F6B">
          <w:rPr>
            <w:rStyle w:val="Hyperlink"/>
            <w:noProof/>
            <w:lang w:val="mk-MK"/>
          </w:rPr>
          <w:t>2.</w:t>
        </w:r>
        <w:r w:rsidR="00BF4498" w:rsidRPr="00B43F6B">
          <w:rPr>
            <w:noProof/>
            <w:sz w:val="22"/>
            <w:szCs w:val="22"/>
            <w:lang w:val="mk-MK"/>
          </w:rPr>
          <w:tab/>
        </w:r>
        <w:r w:rsidR="00BF4498" w:rsidRPr="00B43F6B">
          <w:rPr>
            <w:rStyle w:val="Hyperlink"/>
            <w:noProof/>
            <w:lang w:val="mk-MK"/>
          </w:rPr>
          <w:t>Грантова програма за изградба на капацитетите и застапување во рамките на граѓанското општество</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_Toc498020883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6</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886" w:history="1">
        <w:r w:rsidR="00BF4498" w:rsidRPr="00B43F6B">
          <w:rPr>
            <w:rStyle w:val="Hyperlink"/>
            <w:noProof/>
            <w:lang w:val="mk-MK"/>
          </w:rPr>
          <w:t>2.1</w:t>
        </w:r>
        <w:r w:rsidR="00BF4498" w:rsidRPr="00B43F6B">
          <w:rPr>
            <w:noProof/>
            <w:sz w:val="22"/>
            <w:szCs w:val="22"/>
            <w:lang w:val="mk-MK"/>
          </w:rPr>
          <w:tab/>
        </w:r>
        <w:r w:rsidR="00BF4498" w:rsidRPr="00B43F6B">
          <w:rPr>
            <w:rStyle w:val="Hyperlink"/>
            <w:noProof/>
            <w:lang w:val="mk-MK"/>
          </w:rPr>
          <w:t>Цели и приоритети на програмата</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_Toc498020886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6</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887" w:history="1">
        <w:r w:rsidR="00BF4498" w:rsidRPr="00B43F6B">
          <w:rPr>
            <w:rStyle w:val="Hyperlink"/>
            <w:noProof/>
            <w:lang w:val="mk-MK"/>
          </w:rPr>
          <w:t>2.2</w:t>
        </w:r>
        <w:r w:rsidR="00BF4498" w:rsidRPr="00B43F6B">
          <w:rPr>
            <w:noProof/>
            <w:sz w:val="22"/>
            <w:szCs w:val="22"/>
            <w:lang w:val="mk-MK"/>
          </w:rPr>
          <w:tab/>
        </w:r>
        <w:r w:rsidR="00BF4498" w:rsidRPr="00B43F6B">
          <w:rPr>
            <w:rStyle w:val="Hyperlink"/>
            <w:noProof/>
            <w:lang w:val="mk-MK"/>
          </w:rPr>
          <w:t>Проектни показатели</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_Toc498020887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7</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888" w:history="1">
        <w:r w:rsidR="00BF4498" w:rsidRPr="00B43F6B">
          <w:rPr>
            <w:rStyle w:val="Hyperlink"/>
            <w:noProof/>
            <w:lang w:val="mk-MK"/>
          </w:rPr>
          <w:t>2.3</w:t>
        </w:r>
        <w:r w:rsidR="00BF4498" w:rsidRPr="00B43F6B">
          <w:rPr>
            <w:noProof/>
            <w:sz w:val="22"/>
            <w:szCs w:val="22"/>
            <w:lang w:val="mk-MK"/>
          </w:rPr>
          <w:tab/>
        </w:r>
        <w:r w:rsidR="00BF4498" w:rsidRPr="00B43F6B">
          <w:rPr>
            <w:rStyle w:val="Hyperlink"/>
            <w:noProof/>
            <w:lang w:val="mk-MK"/>
          </w:rPr>
          <w:t>Генерален преглед</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_Toc498020888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7</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889" w:history="1">
        <w:r w:rsidR="00BF4498" w:rsidRPr="00B43F6B">
          <w:rPr>
            <w:rStyle w:val="Hyperlink"/>
            <w:noProof/>
            <w:lang w:val="mk-MK"/>
          </w:rPr>
          <w:t>2.4</w:t>
        </w:r>
        <w:r w:rsidR="00BF4498" w:rsidRPr="00B43F6B">
          <w:rPr>
            <w:noProof/>
            <w:sz w:val="22"/>
            <w:szCs w:val="22"/>
            <w:lang w:val="mk-MK"/>
          </w:rPr>
          <w:tab/>
        </w:r>
        <w:r w:rsidR="00BF4498" w:rsidRPr="00B43F6B">
          <w:rPr>
            <w:rStyle w:val="Hyperlink"/>
            <w:noProof/>
            <w:lang w:val="mk-MK"/>
          </w:rPr>
          <w:t>Подобност</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_Toc498020889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8</w:t>
        </w:r>
        <w:r w:rsidR="006574A3" w:rsidRPr="00B43F6B">
          <w:rPr>
            <w:noProof/>
            <w:webHidden/>
            <w:lang w:val="mk-MK"/>
          </w:rPr>
          <w:fldChar w:fldCharType="end"/>
        </w:r>
      </w:hyperlink>
    </w:p>
    <w:p w:rsidR="00BF4498" w:rsidRPr="00B43F6B" w:rsidRDefault="001E69D4">
      <w:pPr>
        <w:pStyle w:val="TOC2"/>
        <w:tabs>
          <w:tab w:val="right" w:leader="dot" w:pos="8630"/>
        </w:tabs>
        <w:rPr>
          <w:noProof/>
          <w:sz w:val="22"/>
          <w:szCs w:val="22"/>
          <w:lang w:val="mk-MK"/>
        </w:rPr>
      </w:pPr>
      <w:hyperlink w:anchor="_Toc498020890" w:history="1">
        <w:r w:rsidR="00BF4498" w:rsidRPr="00B43F6B">
          <w:rPr>
            <w:rStyle w:val="Hyperlink"/>
            <w:noProof/>
            <w:lang w:val="mk-MK"/>
          </w:rPr>
          <w:t>Партнерства</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_Toc498020890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8</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891" w:history="1">
        <w:r w:rsidR="00BF4498" w:rsidRPr="00B43F6B">
          <w:rPr>
            <w:rStyle w:val="Hyperlink"/>
            <w:noProof/>
            <w:lang w:val="mk-MK"/>
          </w:rPr>
          <w:t>2.5</w:t>
        </w:r>
        <w:r w:rsidR="00BF4498" w:rsidRPr="00B43F6B">
          <w:rPr>
            <w:noProof/>
            <w:sz w:val="22"/>
            <w:szCs w:val="22"/>
            <w:lang w:val="mk-MK"/>
          </w:rPr>
          <w:tab/>
        </w:r>
        <w:r w:rsidR="00BF4498" w:rsidRPr="00B43F6B">
          <w:rPr>
            <w:rStyle w:val="Hyperlink"/>
            <w:noProof/>
            <w:lang w:val="mk-MK"/>
          </w:rPr>
          <w:t>Тематска област</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_Toc498020891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9</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892" w:history="1">
        <w:r w:rsidR="00BF4498" w:rsidRPr="00B43F6B">
          <w:rPr>
            <w:rStyle w:val="Hyperlink"/>
            <w:noProof/>
            <w:lang w:val="mk-MK"/>
          </w:rPr>
          <w:t>2.6</w:t>
        </w:r>
        <w:r w:rsidR="00BF4498" w:rsidRPr="00B43F6B">
          <w:rPr>
            <w:noProof/>
            <w:sz w:val="22"/>
            <w:szCs w:val="22"/>
            <w:lang w:val="mk-MK"/>
          </w:rPr>
          <w:tab/>
        </w:r>
        <w:r w:rsidR="00BF4498" w:rsidRPr="00B43F6B">
          <w:rPr>
            <w:rStyle w:val="Hyperlink"/>
            <w:noProof/>
            <w:lang w:val="mk-MK"/>
          </w:rPr>
          <w:t>Подобност на трошоците</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_Toc498020892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9</w:t>
        </w:r>
        <w:r w:rsidR="006574A3" w:rsidRPr="00B43F6B">
          <w:rPr>
            <w:noProof/>
            <w:webHidden/>
            <w:lang w:val="mk-MK"/>
          </w:rPr>
          <w:fldChar w:fldCharType="end"/>
        </w:r>
      </w:hyperlink>
    </w:p>
    <w:p w:rsidR="00BF4498" w:rsidRPr="00B43F6B" w:rsidRDefault="001E69D4">
      <w:pPr>
        <w:pStyle w:val="TOC3"/>
        <w:tabs>
          <w:tab w:val="left" w:pos="1320"/>
          <w:tab w:val="right" w:leader="dot" w:pos="8630"/>
        </w:tabs>
        <w:rPr>
          <w:noProof/>
          <w:sz w:val="22"/>
          <w:szCs w:val="22"/>
          <w:lang w:val="mk-MK"/>
        </w:rPr>
      </w:pPr>
      <w:hyperlink w:anchor="_Toc498020893" w:history="1">
        <w:r w:rsidR="00BF4498" w:rsidRPr="00B43F6B">
          <w:rPr>
            <w:rStyle w:val="Hyperlink"/>
            <w:noProof/>
            <w:lang w:val="mk-MK"/>
          </w:rPr>
          <w:t>2.6.1</w:t>
        </w:r>
        <w:r w:rsidR="00BF4498" w:rsidRPr="00B43F6B">
          <w:rPr>
            <w:noProof/>
            <w:sz w:val="22"/>
            <w:szCs w:val="22"/>
            <w:lang w:val="mk-MK"/>
          </w:rPr>
          <w:tab/>
        </w:r>
        <w:r w:rsidR="00BF4498" w:rsidRPr="00B43F6B">
          <w:rPr>
            <w:rStyle w:val="Hyperlink"/>
            <w:noProof/>
            <w:lang w:val="mk-MK"/>
          </w:rPr>
          <w:t>Акции подобни за финансирање</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_Toc498020893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9</w:t>
        </w:r>
        <w:r w:rsidR="006574A3" w:rsidRPr="00B43F6B">
          <w:rPr>
            <w:noProof/>
            <w:webHidden/>
            <w:lang w:val="mk-MK"/>
          </w:rPr>
          <w:fldChar w:fldCharType="end"/>
        </w:r>
      </w:hyperlink>
    </w:p>
    <w:p w:rsidR="00BF4498" w:rsidRPr="00B43F6B" w:rsidRDefault="001E69D4">
      <w:pPr>
        <w:pStyle w:val="TOC3"/>
        <w:tabs>
          <w:tab w:val="left" w:pos="1320"/>
          <w:tab w:val="right" w:leader="dot" w:pos="8630"/>
        </w:tabs>
        <w:rPr>
          <w:noProof/>
          <w:sz w:val="22"/>
          <w:szCs w:val="22"/>
          <w:lang w:val="mk-MK"/>
        </w:rPr>
      </w:pPr>
      <w:hyperlink w:anchor="_Toc498020894" w:history="1">
        <w:r w:rsidR="00BF4498" w:rsidRPr="00B43F6B">
          <w:rPr>
            <w:rStyle w:val="Hyperlink"/>
            <w:noProof/>
            <w:lang w:val="mk-MK"/>
          </w:rPr>
          <w:t>2.6.2</w:t>
        </w:r>
        <w:r w:rsidR="00BF4498" w:rsidRPr="00B43F6B">
          <w:rPr>
            <w:noProof/>
            <w:sz w:val="22"/>
            <w:szCs w:val="22"/>
            <w:lang w:val="mk-MK"/>
          </w:rPr>
          <w:tab/>
        </w:r>
        <w:r w:rsidR="00BF4498" w:rsidRPr="00B43F6B">
          <w:rPr>
            <w:rStyle w:val="Hyperlink"/>
            <w:noProof/>
            <w:lang w:val="mk-MK"/>
          </w:rPr>
          <w:t>Акции што не се подобни за финансирње</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_Toc498020894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10</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895" w:history="1">
        <w:r w:rsidR="00BF4498" w:rsidRPr="00B43F6B">
          <w:rPr>
            <w:rStyle w:val="Hyperlink"/>
            <w:noProof/>
            <w:lang w:val="mk-MK"/>
          </w:rPr>
          <w:t>2.7</w:t>
        </w:r>
        <w:r w:rsidR="00BF4498" w:rsidRPr="00B43F6B">
          <w:rPr>
            <w:noProof/>
            <w:sz w:val="22"/>
            <w:szCs w:val="22"/>
            <w:lang w:val="mk-MK"/>
          </w:rPr>
          <w:tab/>
        </w:r>
        <w:r w:rsidR="00BF4498" w:rsidRPr="00B43F6B">
          <w:rPr>
            <w:rStyle w:val="Hyperlink"/>
            <w:noProof/>
            <w:lang w:val="mk-MK"/>
          </w:rPr>
          <w:t>Тип и износ на грантот</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_Toc498020895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11</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896" w:history="1">
        <w:r w:rsidR="00BF4498" w:rsidRPr="00B43F6B">
          <w:rPr>
            <w:rStyle w:val="Hyperlink"/>
            <w:noProof/>
            <w:lang w:val="mk-MK"/>
          </w:rPr>
          <w:t>2.8</w:t>
        </w:r>
        <w:r w:rsidR="00BF4498" w:rsidRPr="00B43F6B">
          <w:rPr>
            <w:noProof/>
            <w:sz w:val="22"/>
            <w:szCs w:val="22"/>
            <w:lang w:val="mk-MK"/>
          </w:rPr>
          <w:tab/>
        </w:r>
        <w:r w:rsidR="00BF4498" w:rsidRPr="00B43F6B">
          <w:rPr>
            <w:rStyle w:val="Hyperlink"/>
            <w:noProof/>
            <w:lang w:val="mk-MK"/>
          </w:rPr>
          <w:t>Географски опфат</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_Toc498020896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12</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897" w:history="1">
        <w:r w:rsidR="00BF4498" w:rsidRPr="00B43F6B">
          <w:rPr>
            <w:rStyle w:val="Hyperlink"/>
            <w:noProof/>
            <w:lang w:val="mk-MK"/>
          </w:rPr>
          <w:t>2.9</w:t>
        </w:r>
        <w:r w:rsidR="00BF4498" w:rsidRPr="00B43F6B">
          <w:rPr>
            <w:noProof/>
            <w:sz w:val="22"/>
            <w:szCs w:val="22"/>
            <w:lang w:val="mk-MK"/>
          </w:rPr>
          <w:tab/>
        </w:r>
        <w:r w:rsidR="00BF4498" w:rsidRPr="00B43F6B">
          <w:rPr>
            <w:rStyle w:val="Hyperlink"/>
            <w:noProof/>
            <w:lang w:val="mk-MK"/>
          </w:rPr>
          <w:t>Временска динамика на грантот</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_Toc498020897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12</w:t>
        </w:r>
        <w:r w:rsidR="006574A3" w:rsidRPr="00B43F6B">
          <w:rPr>
            <w:noProof/>
            <w:webHidden/>
            <w:lang w:val="mk-MK"/>
          </w:rPr>
          <w:fldChar w:fldCharType="end"/>
        </w:r>
      </w:hyperlink>
    </w:p>
    <w:p w:rsidR="00BF4498" w:rsidRPr="00B43F6B" w:rsidRDefault="001E69D4">
      <w:pPr>
        <w:pStyle w:val="TOC2"/>
        <w:tabs>
          <w:tab w:val="left" w:pos="1100"/>
          <w:tab w:val="right" w:leader="dot" w:pos="8630"/>
        </w:tabs>
        <w:rPr>
          <w:noProof/>
          <w:sz w:val="22"/>
          <w:szCs w:val="22"/>
          <w:lang w:val="mk-MK"/>
        </w:rPr>
      </w:pPr>
      <w:hyperlink w:anchor="_Toc498020898" w:history="1">
        <w:r w:rsidR="00BF4498" w:rsidRPr="00B43F6B">
          <w:rPr>
            <w:rStyle w:val="Hyperlink"/>
            <w:noProof/>
            <w:lang w:val="mk-MK"/>
          </w:rPr>
          <w:t>2.10</w:t>
        </w:r>
        <w:r w:rsidR="00BF4498" w:rsidRPr="00B43F6B">
          <w:rPr>
            <w:noProof/>
            <w:sz w:val="22"/>
            <w:szCs w:val="22"/>
            <w:lang w:val="mk-MK"/>
          </w:rPr>
          <w:tab/>
        </w:r>
        <w:r w:rsidR="00BF4498" w:rsidRPr="00B43F6B">
          <w:rPr>
            <w:rStyle w:val="Hyperlink"/>
            <w:noProof/>
            <w:lang w:val="mk-MK"/>
          </w:rPr>
          <w:t>Визибилност</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_Toc498020898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12</w:t>
        </w:r>
        <w:r w:rsidR="006574A3" w:rsidRPr="00B43F6B">
          <w:rPr>
            <w:noProof/>
            <w:webHidden/>
            <w:lang w:val="mk-MK"/>
          </w:rPr>
          <w:fldChar w:fldCharType="end"/>
        </w:r>
      </w:hyperlink>
    </w:p>
    <w:p w:rsidR="00BF4498" w:rsidRPr="00B43F6B" w:rsidRDefault="001E69D4">
      <w:pPr>
        <w:pStyle w:val="TOC1"/>
        <w:tabs>
          <w:tab w:val="left" w:pos="480"/>
          <w:tab w:val="right" w:leader="dot" w:pos="8630"/>
        </w:tabs>
        <w:rPr>
          <w:noProof/>
          <w:sz w:val="22"/>
          <w:szCs w:val="22"/>
          <w:lang w:val="mk-MK"/>
        </w:rPr>
      </w:pPr>
      <w:hyperlink w:anchor="_Toc498020899" w:history="1">
        <w:r w:rsidR="00BF4498" w:rsidRPr="00B43F6B">
          <w:rPr>
            <w:rStyle w:val="Hyperlink"/>
            <w:noProof/>
            <w:lang w:val="mk-MK"/>
          </w:rPr>
          <w:t>3.</w:t>
        </w:r>
        <w:r w:rsidR="00BF4498" w:rsidRPr="00B43F6B">
          <w:rPr>
            <w:noProof/>
            <w:sz w:val="22"/>
            <w:szCs w:val="22"/>
            <w:lang w:val="mk-MK"/>
          </w:rPr>
          <w:tab/>
        </w:r>
        <w:r w:rsidR="00BF4498" w:rsidRPr="00B43F6B">
          <w:rPr>
            <w:rStyle w:val="Hyperlink"/>
            <w:noProof/>
            <w:lang w:val="mk-MK"/>
          </w:rPr>
          <w:t>Апликации</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_Toc498020899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12</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901" w:history="1">
        <w:r w:rsidR="00BF4498" w:rsidRPr="00B43F6B">
          <w:rPr>
            <w:rStyle w:val="Hyperlink"/>
            <w:noProof/>
            <w:lang w:val="mk-MK"/>
          </w:rPr>
          <w:t>3.1</w:t>
        </w:r>
        <w:r w:rsidR="00BF4498" w:rsidRPr="00B43F6B">
          <w:rPr>
            <w:noProof/>
            <w:sz w:val="22"/>
            <w:szCs w:val="22"/>
            <w:lang w:val="mk-MK"/>
          </w:rPr>
          <w:tab/>
        </w:r>
        <w:r w:rsidR="00BF4498" w:rsidRPr="00B43F6B">
          <w:rPr>
            <w:rStyle w:val="Hyperlink"/>
            <w:noProof/>
            <w:lang w:val="mk-MK"/>
          </w:rPr>
          <w:t>Како да се аплицира</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_Toc498020901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12</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902" w:history="1">
        <w:r w:rsidR="00BF4498" w:rsidRPr="00B43F6B">
          <w:rPr>
            <w:rStyle w:val="Hyperlink"/>
            <w:noProof/>
            <w:lang w:val="mk-MK"/>
          </w:rPr>
          <w:t>3.2</w:t>
        </w:r>
        <w:r w:rsidR="00BF4498" w:rsidRPr="00B43F6B">
          <w:rPr>
            <w:noProof/>
            <w:sz w:val="22"/>
            <w:szCs w:val="22"/>
            <w:lang w:val="mk-MK"/>
          </w:rPr>
          <w:tab/>
        </w:r>
        <w:r w:rsidR="00BF4498" w:rsidRPr="00B43F6B">
          <w:rPr>
            <w:rStyle w:val="Hyperlink"/>
            <w:noProof/>
            <w:lang w:val="mk-MK"/>
          </w:rPr>
          <w:t>Процес на селекција и доделување бодови</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_Toc498020902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13</w:t>
        </w:r>
        <w:r w:rsidR="006574A3" w:rsidRPr="00B43F6B">
          <w:rPr>
            <w:noProof/>
            <w:webHidden/>
            <w:lang w:val="mk-MK"/>
          </w:rPr>
          <w:fldChar w:fldCharType="end"/>
        </w:r>
      </w:hyperlink>
    </w:p>
    <w:p w:rsidR="00BF4498" w:rsidRPr="00B43F6B" w:rsidRDefault="001E69D4">
      <w:pPr>
        <w:pStyle w:val="TOC3"/>
        <w:tabs>
          <w:tab w:val="left" w:pos="1320"/>
          <w:tab w:val="right" w:leader="dot" w:pos="8630"/>
        </w:tabs>
        <w:rPr>
          <w:noProof/>
          <w:sz w:val="22"/>
          <w:szCs w:val="22"/>
          <w:lang w:val="mk-MK"/>
        </w:rPr>
      </w:pPr>
      <w:hyperlink w:anchor="_Toc498020903" w:history="1">
        <w:r w:rsidR="00BF4498" w:rsidRPr="00B43F6B">
          <w:rPr>
            <w:rStyle w:val="Hyperlink"/>
            <w:noProof/>
            <w:lang w:val="mk-MK"/>
          </w:rPr>
          <w:t>3.2.1</w:t>
        </w:r>
        <w:r w:rsidR="00BF4498" w:rsidRPr="00B43F6B">
          <w:rPr>
            <w:noProof/>
            <w:sz w:val="22"/>
            <w:szCs w:val="22"/>
            <w:lang w:val="mk-MK"/>
          </w:rPr>
          <w:tab/>
        </w:r>
        <w:r w:rsidR="00BF4498" w:rsidRPr="00B43F6B">
          <w:rPr>
            <w:rStyle w:val="Hyperlink"/>
            <w:noProof/>
            <w:lang w:val="mk-MK"/>
          </w:rPr>
          <w:t>Бодирање</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_Toc498020903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13</w:t>
        </w:r>
        <w:r w:rsidR="006574A3" w:rsidRPr="00B43F6B">
          <w:rPr>
            <w:noProof/>
            <w:webHidden/>
            <w:lang w:val="mk-MK"/>
          </w:rPr>
          <w:fldChar w:fldCharType="end"/>
        </w:r>
      </w:hyperlink>
    </w:p>
    <w:p w:rsidR="00BF4498" w:rsidRPr="00B43F6B" w:rsidRDefault="001E69D4">
      <w:pPr>
        <w:pStyle w:val="TOC3"/>
        <w:tabs>
          <w:tab w:val="left" w:pos="1320"/>
          <w:tab w:val="right" w:leader="dot" w:pos="8630"/>
        </w:tabs>
        <w:rPr>
          <w:noProof/>
          <w:sz w:val="22"/>
          <w:szCs w:val="22"/>
          <w:lang w:val="mk-MK"/>
        </w:rPr>
      </w:pPr>
      <w:hyperlink w:anchor="_Toc498020904" w:history="1">
        <w:r w:rsidR="00BF4498" w:rsidRPr="00B43F6B">
          <w:rPr>
            <w:rStyle w:val="Hyperlink"/>
            <w:noProof/>
            <w:lang w:val="mk-MK"/>
          </w:rPr>
          <w:t>3.2.2</w:t>
        </w:r>
        <w:r w:rsidR="00BF4498" w:rsidRPr="00B43F6B">
          <w:rPr>
            <w:noProof/>
            <w:sz w:val="22"/>
            <w:szCs w:val="22"/>
            <w:lang w:val="mk-MK"/>
          </w:rPr>
          <w:tab/>
        </w:r>
        <w:r w:rsidR="00BF4498" w:rsidRPr="00B43F6B">
          <w:rPr>
            <w:rStyle w:val="Hyperlink"/>
            <w:noProof/>
            <w:lang w:val="mk-MK"/>
          </w:rPr>
          <w:t>Табела за оценка</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_Toc498020904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13</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905" w:history="1">
        <w:r w:rsidR="00BF4498" w:rsidRPr="00B43F6B">
          <w:rPr>
            <w:rStyle w:val="Hyperlink"/>
            <w:noProof/>
            <w:lang w:val="mk-MK"/>
          </w:rPr>
          <w:t>3.3</w:t>
        </w:r>
        <w:r w:rsidR="00BF4498" w:rsidRPr="00B43F6B">
          <w:rPr>
            <w:noProof/>
            <w:sz w:val="22"/>
            <w:szCs w:val="22"/>
            <w:lang w:val="mk-MK"/>
          </w:rPr>
          <w:tab/>
        </w:r>
        <w:r w:rsidR="00BF4498" w:rsidRPr="00B43F6B">
          <w:rPr>
            <w:rStyle w:val="Hyperlink"/>
            <w:noProof/>
            <w:lang w:val="mk-MK"/>
          </w:rPr>
          <w:t>Договор за доделување грант и исплати</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_Toc498020905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15</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906" w:history="1">
        <w:r w:rsidR="00BF4498" w:rsidRPr="00B43F6B">
          <w:rPr>
            <w:rStyle w:val="Hyperlink"/>
            <w:noProof/>
            <w:lang w:val="mk-MK"/>
          </w:rPr>
          <w:t>3.4</w:t>
        </w:r>
        <w:r w:rsidR="00BF4498" w:rsidRPr="00B43F6B">
          <w:rPr>
            <w:noProof/>
            <w:sz w:val="22"/>
            <w:szCs w:val="22"/>
            <w:lang w:val="mk-MK"/>
          </w:rPr>
          <w:tab/>
        </w:r>
        <w:r w:rsidR="00BF4498" w:rsidRPr="00B43F6B">
          <w:rPr>
            <w:rStyle w:val="Hyperlink"/>
            <w:noProof/>
            <w:lang w:val="mk-MK"/>
          </w:rPr>
          <w:t>Известување</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_Toc498020906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15</w:t>
        </w:r>
        <w:r w:rsidR="006574A3" w:rsidRPr="00B43F6B">
          <w:rPr>
            <w:noProof/>
            <w:webHidden/>
            <w:lang w:val="mk-MK"/>
          </w:rPr>
          <w:fldChar w:fldCharType="end"/>
        </w:r>
      </w:hyperlink>
    </w:p>
    <w:p w:rsidR="00BF4498" w:rsidRPr="00B43F6B" w:rsidRDefault="001E69D4">
      <w:pPr>
        <w:pStyle w:val="TOC2"/>
        <w:tabs>
          <w:tab w:val="left" w:pos="880"/>
          <w:tab w:val="right" w:leader="dot" w:pos="8630"/>
        </w:tabs>
        <w:rPr>
          <w:noProof/>
          <w:sz w:val="22"/>
          <w:szCs w:val="22"/>
          <w:lang w:val="mk-MK"/>
        </w:rPr>
      </w:pPr>
      <w:hyperlink w:anchor="_Toc498020907" w:history="1">
        <w:r w:rsidR="00BF4498" w:rsidRPr="00B43F6B">
          <w:rPr>
            <w:rStyle w:val="Hyperlink"/>
            <w:noProof/>
            <w:lang w:val="mk-MK"/>
          </w:rPr>
          <w:t>3.5</w:t>
        </w:r>
        <w:r w:rsidR="00BF4498" w:rsidRPr="00B43F6B">
          <w:rPr>
            <w:noProof/>
            <w:sz w:val="22"/>
            <w:szCs w:val="22"/>
            <w:lang w:val="mk-MK"/>
          </w:rPr>
          <w:tab/>
        </w:r>
        <w:r w:rsidR="00BF4498" w:rsidRPr="00B43F6B">
          <w:rPr>
            <w:rStyle w:val="Hyperlink"/>
            <w:noProof/>
            <w:lang w:val="mk-MK"/>
          </w:rPr>
          <w:t>Мониторинг и евалуација</w:t>
        </w:r>
        <w:r w:rsidR="00BF4498" w:rsidRPr="00B43F6B">
          <w:rPr>
            <w:noProof/>
            <w:webHidden/>
            <w:lang w:val="mk-MK"/>
          </w:rPr>
          <w:tab/>
        </w:r>
        <w:r w:rsidR="006574A3" w:rsidRPr="00B43F6B">
          <w:rPr>
            <w:noProof/>
            <w:webHidden/>
            <w:lang w:val="mk-MK"/>
          </w:rPr>
          <w:fldChar w:fldCharType="begin"/>
        </w:r>
        <w:r w:rsidR="00BF4498" w:rsidRPr="00B43F6B">
          <w:rPr>
            <w:noProof/>
            <w:webHidden/>
            <w:lang w:val="mk-MK"/>
          </w:rPr>
          <w:instrText xml:space="preserve"> PAGEREF _Toc498020907 \h </w:instrText>
        </w:r>
        <w:r w:rsidR="006574A3" w:rsidRPr="00B43F6B">
          <w:rPr>
            <w:noProof/>
            <w:webHidden/>
            <w:lang w:val="mk-MK"/>
          </w:rPr>
        </w:r>
        <w:r w:rsidR="006574A3" w:rsidRPr="00B43F6B">
          <w:rPr>
            <w:noProof/>
            <w:webHidden/>
            <w:lang w:val="mk-MK"/>
          </w:rPr>
          <w:fldChar w:fldCharType="separate"/>
        </w:r>
        <w:r w:rsidR="00BF4498" w:rsidRPr="00B43F6B">
          <w:rPr>
            <w:noProof/>
            <w:webHidden/>
            <w:lang w:val="mk-MK"/>
          </w:rPr>
          <w:t>15</w:t>
        </w:r>
        <w:r w:rsidR="006574A3" w:rsidRPr="00B43F6B">
          <w:rPr>
            <w:noProof/>
            <w:webHidden/>
            <w:lang w:val="mk-MK"/>
          </w:rPr>
          <w:fldChar w:fldCharType="end"/>
        </w:r>
      </w:hyperlink>
    </w:p>
    <w:p w:rsidR="00AD1A43" w:rsidRPr="00B43F6B" w:rsidRDefault="006574A3">
      <w:pPr>
        <w:rPr>
          <w:rFonts w:cstheme="majorHAnsi"/>
          <w:lang w:val="mk-MK"/>
        </w:rPr>
      </w:pPr>
      <w:r w:rsidRPr="00B43F6B">
        <w:rPr>
          <w:rFonts w:asciiTheme="majorHAnsi" w:hAnsiTheme="majorHAnsi" w:cstheme="majorHAnsi"/>
          <w:lang w:val="mk-MK"/>
        </w:rPr>
        <w:fldChar w:fldCharType="end"/>
      </w:r>
      <w:r w:rsidR="00AD1A43" w:rsidRPr="00B43F6B">
        <w:rPr>
          <w:rFonts w:cstheme="majorHAnsi"/>
          <w:lang w:val="mk-MK"/>
        </w:rPr>
        <w:br w:type="page"/>
      </w:r>
    </w:p>
    <w:p w:rsidR="00495227" w:rsidRPr="00B43F6B" w:rsidRDefault="00495227" w:rsidP="00F15330">
      <w:pPr>
        <w:pStyle w:val="Heading1"/>
        <w:numPr>
          <w:ilvl w:val="0"/>
          <w:numId w:val="12"/>
        </w:numPr>
        <w:spacing w:before="0" w:after="240"/>
        <w:ind w:left="360"/>
        <w:rPr>
          <w:rFonts w:cstheme="majorHAnsi"/>
          <w:sz w:val="24"/>
          <w:szCs w:val="24"/>
          <w:lang w:val="mk-MK"/>
        </w:rPr>
      </w:pPr>
      <w:bookmarkStart w:id="0" w:name="_Toc498020880"/>
      <w:r w:rsidRPr="00B43F6B">
        <w:rPr>
          <w:rFonts w:cstheme="majorHAnsi"/>
          <w:sz w:val="24"/>
          <w:szCs w:val="24"/>
          <w:lang w:val="mk-MK"/>
        </w:rPr>
        <w:lastRenderedPageBreak/>
        <w:t xml:space="preserve">ALTER </w:t>
      </w:r>
      <w:r w:rsidR="00CF64E9" w:rsidRPr="00B43F6B">
        <w:rPr>
          <w:rFonts w:cstheme="majorHAnsi"/>
          <w:sz w:val="24"/>
          <w:szCs w:val="24"/>
          <w:lang w:val="mk-MK"/>
        </w:rPr>
        <w:t>–</w:t>
      </w:r>
      <w:r w:rsidRPr="00B43F6B">
        <w:rPr>
          <w:rFonts w:cstheme="majorHAnsi"/>
          <w:sz w:val="24"/>
          <w:szCs w:val="24"/>
          <w:lang w:val="mk-MK"/>
        </w:rPr>
        <w:t xml:space="preserve"> </w:t>
      </w:r>
      <w:r w:rsidR="00CF64E9" w:rsidRPr="00B43F6B">
        <w:rPr>
          <w:rFonts w:cstheme="majorHAnsi"/>
          <w:sz w:val="24"/>
          <w:szCs w:val="24"/>
          <w:lang w:val="mk-MK"/>
        </w:rPr>
        <w:t>Активни локални територии за економски развој на руралните области (</w:t>
      </w:r>
      <w:r w:rsidRPr="00B43F6B">
        <w:rPr>
          <w:rFonts w:cstheme="majorHAnsi"/>
          <w:i/>
          <w:sz w:val="24"/>
          <w:szCs w:val="24"/>
          <w:lang w:val="mk-MK"/>
        </w:rPr>
        <w:t>Active Local Territories for Economic development of Rural Areas</w:t>
      </w:r>
      <w:r w:rsidR="00CF64E9" w:rsidRPr="00B43F6B">
        <w:rPr>
          <w:rFonts w:cstheme="majorHAnsi"/>
          <w:sz w:val="24"/>
          <w:szCs w:val="24"/>
          <w:lang w:val="mk-MK"/>
        </w:rPr>
        <w:t>)</w:t>
      </w:r>
      <w:bookmarkEnd w:id="0"/>
    </w:p>
    <w:p w:rsidR="00CF64E9" w:rsidRPr="00B43F6B" w:rsidRDefault="00CF64E9" w:rsidP="000B38C5">
      <w:pPr>
        <w:jc w:val="both"/>
        <w:rPr>
          <w:rFonts w:asciiTheme="majorHAnsi" w:hAnsiTheme="majorHAnsi" w:cstheme="majorHAnsi"/>
          <w:lang w:val="mk-MK"/>
        </w:rPr>
      </w:pPr>
      <w:r w:rsidRPr="00B43F6B">
        <w:rPr>
          <w:rFonts w:asciiTheme="majorHAnsi" w:hAnsiTheme="majorHAnsi" w:cstheme="majorHAnsi"/>
          <w:b/>
          <w:lang w:val="mk-MK"/>
        </w:rPr>
        <w:t>Клучните прашања</w:t>
      </w:r>
      <w:r w:rsidR="000B38C5" w:rsidRPr="00B43F6B">
        <w:rPr>
          <w:rFonts w:asciiTheme="majorHAnsi" w:hAnsiTheme="majorHAnsi" w:cstheme="majorHAnsi"/>
          <w:lang w:val="mk-MK"/>
        </w:rPr>
        <w:t xml:space="preserve">, </w:t>
      </w:r>
      <w:r w:rsidRPr="00B43F6B">
        <w:rPr>
          <w:rFonts w:asciiTheme="majorHAnsi" w:hAnsiTheme="majorHAnsi" w:cstheme="majorHAnsi"/>
          <w:lang w:val="mk-MK"/>
        </w:rPr>
        <w:t xml:space="preserve">релевантни за руралниот развој беа следниве: </w:t>
      </w:r>
    </w:p>
    <w:p w:rsidR="00CF64E9" w:rsidRPr="00B43F6B" w:rsidRDefault="00CF64E9" w:rsidP="000B38C5">
      <w:pPr>
        <w:jc w:val="both"/>
        <w:rPr>
          <w:rFonts w:asciiTheme="majorHAnsi" w:hAnsiTheme="majorHAnsi" w:cstheme="majorHAnsi"/>
          <w:lang w:val="mk-MK"/>
        </w:rPr>
      </w:pPr>
      <w:r w:rsidRPr="00B43F6B">
        <w:rPr>
          <w:rFonts w:asciiTheme="majorHAnsi" w:hAnsiTheme="majorHAnsi" w:cstheme="majorHAnsi"/>
          <w:u w:val="single"/>
          <w:lang w:val="mk-MK"/>
        </w:rPr>
        <w:t>Вклученост на чинителите</w:t>
      </w:r>
      <w:r w:rsidRPr="00B43F6B">
        <w:rPr>
          <w:rFonts w:asciiTheme="majorHAnsi" w:hAnsiTheme="majorHAnsi" w:cstheme="majorHAnsi"/>
          <w:lang w:val="mk-MK"/>
        </w:rPr>
        <w:t xml:space="preserve">; Владите во седум земји, сите заедно, со различен интензитет, бараат да се вклучат чинителите во процесот на подготовка на стратегиите за земјоделство и рурален развој. Главниот фокус е </w:t>
      </w:r>
      <w:r w:rsidRPr="00B43F6B">
        <w:rPr>
          <w:rFonts w:asciiTheme="majorHAnsi" w:hAnsiTheme="majorHAnsi" w:cstheme="majorHAnsi"/>
          <w:u w:val="single"/>
          <w:lang w:val="mk-MK"/>
        </w:rPr>
        <w:t>информација</w:t>
      </w:r>
      <w:r w:rsidRPr="00B43F6B">
        <w:rPr>
          <w:rFonts w:asciiTheme="majorHAnsi" w:hAnsiTheme="majorHAnsi" w:cstheme="majorHAnsi"/>
          <w:lang w:val="mk-MK"/>
        </w:rPr>
        <w:t xml:space="preserve"> и </w:t>
      </w:r>
      <w:r w:rsidRPr="00B43F6B">
        <w:rPr>
          <w:rFonts w:asciiTheme="majorHAnsi" w:hAnsiTheme="majorHAnsi" w:cstheme="majorHAnsi"/>
          <w:u w:val="single"/>
          <w:lang w:val="mk-MK"/>
        </w:rPr>
        <w:t>консултација</w:t>
      </w:r>
      <w:r w:rsidRPr="00B43F6B">
        <w:rPr>
          <w:rFonts w:asciiTheme="majorHAnsi" w:hAnsiTheme="majorHAnsi" w:cstheme="majorHAnsi"/>
          <w:lang w:val="mk-MK"/>
        </w:rPr>
        <w:t xml:space="preserve">, во облик на семинари и покани кон општата јавност </w:t>
      </w:r>
      <w:r w:rsidR="00BE7C2A" w:rsidRPr="00B43F6B">
        <w:rPr>
          <w:rFonts w:asciiTheme="majorHAnsi" w:hAnsiTheme="majorHAnsi" w:cstheme="majorHAnsi"/>
          <w:lang w:val="mk-MK"/>
        </w:rPr>
        <w:t xml:space="preserve">за коментари. Воспоставена е основа за движењето во иднина кон </w:t>
      </w:r>
      <w:r w:rsidR="00BE7C2A" w:rsidRPr="00B43F6B">
        <w:rPr>
          <w:rFonts w:asciiTheme="majorHAnsi" w:hAnsiTheme="majorHAnsi" w:cstheme="majorHAnsi"/>
          <w:u w:val="single"/>
          <w:lang w:val="mk-MK"/>
        </w:rPr>
        <w:t>учество</w:t>
      </w:r>
      <w:r w:rsidR="00BE7C2A" w:rsidRPr="00B43F6B">
        <w:rPr>
          <w:rFonts w:asciiTheme="majorHAnsi" w:hAnsiTheme="majorHAnsi" w:cstheme="majorHAnsi"/>
          <w:lang w:val="mk-MK"/>
        </w:rPr>
        <w:t xml:space="preserve">, на пример, активност во помош при изработката на политиките, па дури и </w:t>
      </w:r>
      <w:r w:rsidR="00363A93" w:rsidRPr="00B43F6B">
        <w:rPr>
          <w:rFonts w:asciiTheme="majorHAnsi" w:hAnsiTheme="majorHAnsi" w:cstheme="majorHAnsi"/>
          <w:u w:val="single"/>
          <w:lang w:val="mk-MK"/>
        </w:rPr>
        <w:t>партнерство</w:t>
      </w:r>
      <w:r w:rsidR="00BE7C2A" w:rsidRPr="00B43F6B">
        <w:rPr>
          <w:rFonts w:asciiTheme="majorHAnsi" w:hAnsiTheme="majorHAnsi" w:cstheme="majorHAnsi"/>
          <w:lang w:val="mk-MK"/>
        </w:rPr>
        <w:t xml:space="preserve">.  </w:t>
      </w:r>
      <w:r w:rsidR="00363A93" w:rsidRPr="00B43F6B">
        <w:rPr>
          <w:rFonts w:asciiTheme="majorHAnsi" w:hAnsiTheme="majorHAnsi" w:cstheme="majorHAnsi"/>
          <w:lang w:val="mk-MK"/>
        </w:rPr>
        <w:t xml:space="preserve">Но, голем број чинители не можат да се поврзат со процесите на носење политики. </w:t>
      </w:r>
      <w:r w:rsidR="00363A93" w:rsidRPr="00B43F6B">
        <w:rPr>
          <w:rFonts w:asciiTheme="majorHAnsi" w:hAnsiTheme="majorHAnsi" w:cstheme="majorHAnsi"/>
          <w:u w:val="single"/>
          <w:lang w:val="mk-MK"/>
        </w:rPr>
        <w:t>Проектот ќе користи застапување, вмрежување и изградба на капацитетот со цел да им овозможи на повеќе чинители да се поврзат со овие процеси</w:t>
      </w:r>
      <w:r w:rsidR="00363A93" w:rsidRPr="00B43F6B">
        <w:rPr>
          <w:rFonts w:asciiTheme="majorHAnsi" w:hAnsiTheme="majorHAnsi" w:cstheme="majorHAnsi"/>
          <w:lang w:val="mk-MK"/>
        </w:rPr>
        <w:t xml:space="preserve">. </w:t>
      </w:r>
    </w:p>
    <w:p w:rsidR="00363A93" w:rsidRPr="00B43F6B" w:rsidRDefault="00363A93" w:rsidP="000B38C5">
      <w:pPr>
        <w:jc w:val="both"/>
        <w:rPr>
          <w:rFonts w:asciiTheme="majorHAnsi" w:hAnsiTheme="majorHAnsi" w:cstheme="majorHAnsi"/>
          <w:lang w:val="mk-MK"/>
        </w:rPr>
      </w:pPr>
      <w:r w:rsidRPr="00B43F6B">
        <w:rPr>
          <w:rFonts w:asciiTheme="majorHAnsi" w:hAnsiTheme="majorHAnsi" w:cstheme="majorHAnsi"/>
          <w:u w:val="single"/>
          <w:lang w:val="mk-MK"/>
        </w:rPr>
        <w:t>Активизам на чинителите</w:t>
      </w:r>
      <w:r w:rsidR="000B38C5" w:rsidRPr="00B43F6B">
        <w:rPr>
          <w:rFonts w:asciiTheme="majorHAnsi" w:hAnsiTheme="majorHAnsi" w:cstheme="majorHAnsi"/>
          <w:lang w:val="mk-MK"/>
        </w:rPr>
        <w:t xml:space="preserve">; </w:t>
      </w:r>
      <w:r w:rsidRPr="00B43F6B">
        <w:rPr>
          <w:rFonts w:asciiTheme="majorHAnsi" w:hAnsiTheme="majorHAnsi" w:cstheme="majorHAnsi"/>
          <w:lang w:val="mk-MK"/>
        </w:rPr>
        <w:t xml:space="preserve">Од своја страна, руралните чинители не треба да чекаат и да очекуваат власта да го преземе целокупното водство при поврзувањето со нив. Треба да бидат упорни, со волја за соработка </w:t>
      </w:r>
      <w:r w:rsidR="00B43F6B" w:rsidRPr="00B43F6B">
        <w:rPr>
          <w:rFonts w:asciiTheme="majorHAnsi" w:hAnsiTheme="majorHAnsi" w:cstheme="majorHAnsi"/>
          <w:lang w:val="mk-MK"/>
        </w:rPr>
        <w:t>меѓу</w:t>
      </w:r>
      <w:r w:rsidR="00B43F6B">
        <w:rPr>
          <w:rFonts w:asciiTheme="majorHAnsi" w:hAnsiTheme="majorHAnsi" w:cstheme="majorHAnsi"/>
          <w:lang w:val="mk-MK"/>
        </w:rPr>
        <w:t xml:space="preserve"> </w:t>
      </w:r>
      <w:r w:rsidR="00B43F6B" w:rsidRPr="00B43F6B">
        <w:rPr>
          <w:rFonts w:asciiTheme="majorHAnsi" w:hAnsiTheme="majorHAnsi" w:cstheme="majorHAnsi"/>
          <w:lang w:val="mk-MK"/>
        </w:rPr>
        <w:t>себе</w:t>
      </w:r>
      <w:r w:rsidRPr="00B43F6B">
        <w:rPr>
          <w:rFonts w:asciiTheme="majorHAnsi" w:hAnsiTheme="majorHAnsi" w:cstheme="majorHAnsi"/>
          <w:lang w:val="mk-MK"/>
        </w:rPr>
        <w:t xml:space="preserve">, подготвени да им се придружат или да оформат </w:t>
      </w:r>
      <w:r w:rsidR="00B43F6B" w:rsidRPr="00B43F6B">
        <w:rPr>
          <w:rFonts w:asciiTheme="majorHAnsi" w:hAnsiTheme="majorHAnsi" w:cstheme="majorHAnsi"/>
          <w:lang w:val="mk-MK"/>
        </w:rPr>
        <w:t>здруженија</w:t>
      </w:r>
      <w:r w:rsidRPr="00B43F6B">
        <w:rPr>
          <w:rFonts w:asciiTheme="majorHAnsi" w:hAnsiTheme="majorHAnsi" w:cstheme="majorHAnsi"/>
          <w:lang w:val="mk-MK"/>
        </w:rPr>
        <w:t xml:space="preserve">. Поединечно или колективно, треба да притискаат за можности да учествуваат во обликувањето, спроведувањето и мониторингот на политиките, како и да одговорат кон тие можности. </w:t>
      </w:r>
      <w:r w:rsidRPr="00B43F6B">
        <w:rPr>
          <w:rFonts w:asciiTheme="majorHAnsi" w:hAnsiTheme="majorHAnsi" w:cstheme="majorHAnsi"/>
          <w:u w:val="single"/>
          <w:lang w:val="mk-MK"/>
        </w:rPr>
        <w:t>Проектот ќе промовира соработка помеѓу руралните чинители</w:t>
      </w:r>
      <w:r w:rsidRPr="00B43F6B">
        <w:rPr>
          <w:rFonts w:asciiTheme="majorHAnsi" w:hAnsiTheme="majorHAnsi" w:cstheme="majorHAnsi"/>
          <w:lang w:val="mk-MK"/>
        </w:rPr>
        <w:t xml:space="preserve">. </w:t>
      </w:r>
    </w:p>
    <w:p w:rsidR="00187A32" w:rsidRPr="00B43F6B" w:rsidRDefault="00187A32" w:rsidP="000B38C5">
      <w:pPr>
        <w:jc w:val="both"/>
        <w:rPr>
          <w:rFonts w:asciiTheme="majorHAnsi" w:hAnsiTheme="majorHAnsi" w:cstheme="majorHAnsi"/>
          <w:lang w:val="mk-MK"/>
        </w:rPr>
      </w:pPr>
      <w:r w:rsidRPr="00B43F6B">
        <w:rPr>
          <w:rFonts w:asciiTheme="majorHAnsi" w:hAnsiTheme="majorHAnsi" w:cstheme="majorHAnsi"/>
          <w:u w:val="single"/>
          <w:lang w:val="mk-MK"/>
        </w:rPr>
        <w:t>Немоќни граѓани</w:t>
      </w:r>
      <w:r w:rsidR="000B38C5" w:rsidRPr="00B43F6B">
        <w:rPr>
          <w:rFonts w:asciiTheme="majorHAnsi" w:hAnsiTheme="majorHAnsi" w:cstheme="majorHAnsi"/>
          <w:lang w:val="mk-MK"/>
        </w:rPr>
        <w:t xml:space="preserve">;  </w:t>
      </w:r>
      <w:r w:rsidRPr="00B43F6B">
        <w:rPr>
          <w:rFonts w:asciiTheme="majorHAnsi" w:hAnsiTheme="majorHAnsi" w:cstheme="majorHAnsi"/>
          <w:lang w:val="mk-MK"/>
        </w:rPr>
        <w:t>Многу рурални региони во седумте земји имаат тесно засновани рурални економии,</w:t>
      </w:r>
      <w:r w:rsidR="00034761" w:rsidRPr="00B43F6B">
        <w:rPr>
          <w:rFonts w:asciiTheme="majorHAnsi" w:hAnsiTheme="majorHAnsi" w:cstheme="majorHAnsi"/>
          <w:lang w:val="mk-MK"/>
        </w:rPr>
        <w:t xml:space="preserve"> ниски просечни примања, невработеност, сезонски труд, миграција на младите надвор од својата средина, висока просечна старост помеѓу тие што остануваат. Патат од сиромаштија, социјална исклученост, особено малцинствата. Постојат стотици илјади фарми, хендикепирани поради ограничената големина, недостатокот на капитал, слаба моќ за преговарање и ограничени пазари. </w:t>
      </w:r>
      <w:r w:rsidRPr="00B43F6B">
        <w:rPr>
          <w:rFonts w:asciiTheme="majorHAnsi" w:hAnsiTheme="majorHAnsi" w:cstheme="majorHAnsi"/>
          <w:lang w:val="mk-MK"/>
        </w:rPr>
        <w:t xml:space="preserve">  </w:t>
      </w:r>
      <w:r w:rsidR="00C7265E" w:rsidRPr="00B43F6B">
        <w:rPr>
          <w:rFonts w:asciiTheme="majorHAnsi" w:hAnsiTheme="majorHAnsi" w:cstheme="majorHAnsi"/>
          <w:lang w:val="mk-MK"/>
        </w:rPr>
        <w:t xml:space="preserve">Ако нивниот глас не се чуе, бројот на таквите фарми драстично ќе опадне и ќе предизвика сериозно заслабување на руралните економии и заедници, освен ако руралните економии не се видоизменат (диверзифицираат) пред да се отворат кон целиот шок на конкурентноста во рамките на ЕУ. </w:t>
      </w:r>
      <w:r w:rsidR="002A189E" w:rsidRPr="00B43F6B">
        <w:rPr>
          <w:rFonts w:asciiTheme="majorHAnsi" w:hAnsiTheme="majorHAnsi" w:cstheme="majorHAnsi"/>
          <w:u w:val="single"/>
          <w:lang w:val="mk-MK"/>
        </w:rPr>
        <w:t>Проектот ќе ги поддржува маргинализираните групи да го изразат својот глас и да ја зголемат својата присутност во процесите за развој на заедницата</w:t>
      </w:r>
      <w:r w:rsidR="002A189E" w:rsidRPr="00B43F6B">
        <w:rPr>
          <w:rFonts w:asciiTheme="majorHAnsi" w:hAnsiTheme="majorHAnsi" w:cstheme="majorHAnsi"/>
          <w:lang w:val="mk-MK"/>
        </w:rPr>
        <w:t xml:space="preserve">. </w:t>
      </w:r>
      <w:r w:rsidR="00BF06F5" w:rsidRPr="00B43F6B">
        <w:rPr>
          <w:rFonts w:asciiTheme="majorHAnsi" w:hAnsiTheme="majorHAnsi" w:cstheme="majorHAnsi"/>
          <w:lang w:val="mk-MK"/>
        </w:rPr>
        <w:t xml:space="preserve"> </w:t>
      </w:r>
      <w:r w:rsidR="00C30871" w:rsidRPr="00B43F6B">
        <w:rPr>
          <w:rFonts w:asciiTheme="majorHAnsi" w:hAnsiTheme="majorHAnsi" w:cstheme="majorHAnsi"/>
          <w:lang w:val="mk-MK"/>
        </w:rPr>
        <w:t xml:space="preserve"> </w:t>
      </w:r>
      <w:r w:rsidR="00BF06F5" w:rsidRPr="00B43F6B">
        <w:rPr>
          <w:rFonts w:asciiTheme="majorHAnsi" w:hAnsiTheme="majorHAnsi" w:cstheme="majorHAnsi"/>
          <w:lang w:val="mk-MK"/>
        </w:rPr>
        <w:t xml:space="preserve">           </w:t>
      </w:r>
    </w:p>
    <w:p w:rsidR="00AA15A2" w:rsidRPr="00B43F6B" w:rsidRDefault="002A189E" w:rsidP="000B38C5">
      <w:pPr>
        <w:spacing w:after="120"/>
        <w:jc w:val="both"/>
        <w:rPr>
          <w:rFonts w:asciiTheme="majorHAnsi" w:hAnsiTheme="majorHAnsi" w:cstheme="majorHAnsi"/>
          <w:lang w:val="mk-MK"/>
        </w:rPr>
      </w:pPr>
      <w:r w:rsidRPr="00B43F6B">
        <w:rPr>
          <w:rFonts w:asciiTheme="majorHAnsi" w:hAnsiTheme="majorHAnsi" w:cstheme="majorHAnsi"/>
          <w:u w:val="single"/>
          <w:lang w:val="mk-MK"/>
        </w:rPr>
        <w:t>Точки на раст</w:t>
      </w:r>
      <w:r w:rsidR="000B38C5" w:rsidRPr="00B43F6B">
        <w:rPr>
          <w:rFonts w:asciiTheme="majorHAnsi" w:hAnsiTheme="majorHAnsi" w:cstheme="majorHAnsi"/>
          <w:lang w:val="mk-MK"/>
        </w:rPr>
        <w:t xml:space="preserve">; </w:t>
      </w:r>
      <w:r w:rsidR="00452670" w:rsidRPr="00B43F6B">
        <w:rPr>
          <w:rFonts w:asciiTheme="majorHAnsi" w:hAnsiTheme="majorHAnsi" w:cstheme="majorHAnsi"/>
          <w:lang w:val="mk-MK"/>
        </w:rPr>
        <w:t xml:space="preserve">Руралните области во земјите </w:t>
      </w:r>
      <w:r w:rsidR="00B43F6B">
        <w:rPr>
          <w:rFonts w:asciiTheme="majorHAnsi" w:hAnsiTheme="majorHAnsi" w:cstheme="majorHAnsi"/>
          <w:lang w:val="mk-MK"/>
        </w:rPr>
        <w:t>апликанти</w:t>
      </w:r>
      <w:r w:rsidR="00452670" w:rsidRPr="00B43F6B">
        <w:rPr>
          <w:rFonts w:asciiTheme="majorHAnsi" w:hAnsiTheme="majorHAnsi" w:cstheme="majorHAnsi"/>
          <w:lang w:val="mk-MK"/>
        </w:rPr>
        <w:t xml:space="preserve"> нудат примери на динамични рурални иницијативи, активни и успешни водачи, како мажи, така и жени. Тие обезбедуваат работни места, носат пари во локалната економија. Некои од нив се избраници во општините, а во улога на </w:t>
      </w:r>
      <w:r w:rsidR="00B43F6B" w:rsidRPr="00B43F6B">
        <w:rPr>
          <w:rFonts w:asciiTheme="majorHAnsi" w:hAnsiTheme="majorHAnsi" w:cstheme="majorHAnsi"/>
          <w:lang w:val="mk-MK"/>
        </w:rPr>
        <w:t>раководители</w:t>
      </w:r>
      <w:r w:rsidR="00452670" w:rsidRPr="00B43F6B">
        <w:rPr>
          <w:rFonts w:asciiTheme="majorHAnsi" w:hAnsiTheme="majorHAnsi" w:cstheme="majorHAnsi"/>
          <w:lang w:val="mk-MK"/>
        </w:rPr>
        <w:t xml:space="preserve"> на општинските развојни програми. Тие се клучните точки на раст во руралниот развој. Така се поставува прашањето за репликабилност...како да </w:t>
      </w:r>
      <w:r w:rsidR="007E065F" w:rsidRPr="00B43F6B">
        <w:rPr>
          <w:rFonts w:asciiTheme="majorHAnsi" w:hAnsiTheme="majorHAnsi" w:cstheme="majorHAnsi"/>
          <w:lang w:val="mk-MK"/>
        </w:rPr>
        <w:t xml:space="preserve">најдеме и да охрабриме повеќе „жестоки“ личности, каква клима на политики, финансирање, регулирање, кредити, итн. се потребни да се стимулира иницијатива? </w:t>
      </w:r>
      <w:r w:rsidR="007E065F" w:rsidRPr="00B43F6B">
        <w:rPr>
          <w:rFonts w:asciiTheme="majorHAnsi" w:hAnsiTheme="majorHAnsi" w:cstheme="majorHAnsi"/>
          <w:u w:val="single"/>
          <w:lang w:val="mk-MK"/>
        </w:rPr>
        <w:t>Проектот ќе ги бара одговорите на ваквите прашања</w:t>
      </w:r>
      <w:r w:rsidR="007E065F" w:rsidRPr="00B43F6B">
        <w:rPr>
          <w:rFonts w:asciiTheme="majorHAnsi" w:hAnsiTheme="majorHAnsi" w:cstheme="majorHAnsi"/>
          <w:lang w:val="mk-MK"/>
        </w:rPr>
        <w:t>.</w:t>
      </w:r>
    </w:p>
    <w:p w:rsidR="002A189E" w:rsidRPr="00B43F6B" w:rsidRDefault="007E065F" w:rsidP="000B38C5">
      <w:pPr>
        <w:spacing w:after="120"/>
        <w:jc w:val="both"/>
        <w:rPr>
          <w:rFonts w:asciiTheme="majorHAnsi" w:hAnsiTheme="majorHAnsi" w:cstheme="majorHAnsi"/>
          <w:lang w:val="mk-MK"/>
        </w:rPr>
      </w:pPr>
      <w:r w:rsidRPr="00B43F6B">
        <w:rPr>
          <w:rFonts w:asciiTheme="majorHAnsi" w:hAnsiTheme="majorHAnsi" w:cstheme="majorHAnsi"/>
          <w:lang w:val="mk-MK"/>
        </w:rPr>
        <w:t xml:space="preserve"> </w:t>
      </w:r>
    </w:p>
    <w:p w:rsidR="00AA15A2" w:rsidRPr="00B43F6B" w:rsidRDefault="00AA15A2" w:rsidP="000B38C5">
      <w:pPr>
        <w:spacing w:after="120"/>
        <w:jc w:val="both"/>
        <w:rPr>
          <w:rFonts w:asciiTheme="majorHAnsi" w:hAnsiTheme="majorHAnsi" w:cstheme="majorHAnsi"/>
          <w:lang w:val="mk-MK"/>
        </w:rPr>
      </w:pPr>
      <w:r w:rsidRPr="00B43F6B">
        <w:rPr>
          <w:rFonts w:asciiTheme="majorHAnsi" w:hAnsiTheme="majorHAnsi" w:cstheme="majorHAnsi"/>
          <w:u w:val="single"/>
          <w:lang w:val="mk-MK"/>
        </w:rPr>
        <w:lastRenderedPageBreak/>
        <w:t>Продолжено и зајакнато вмрежување на сите нивоа</w:t>
      </w:r>
      <w:r w:rsidRPr="00B43F6B">
        <w:rPr>
          <w:rFonts w:asciiTheme="majorHAnsi" w:hAnsiTheme="majorHAnsi" w:cstheme="majorHAnsi"/>
          <w:lang w:val="mk-MK"/>
        </w:rPr>
        <w:t xml:space="preserve">; Вмрежувањето е потребно на сите нивоа, помеѓу и во рамките на земјите. Мора да вклучи вмрежување и соработка помеѓу владите, со цел да се разменат искуства за развојните процеси и да се оствари прекугранична соработка. На Балканот, оваа соработка веќе вклучува ефикасна активност на SWG, </w:t>
      </w:r>
      <w:r w:rsidR="0070712F" w:rsidRPr="00B43F6B">
        <w:rPr>
          <w:rFonts w:asciiTheme="majorHAnsi" w:hAnsiTheme="majorHAnsi" w:cstheme="majorHAnsi"/>
          <w:lang w:val="mk-MK"/>
        </w:rPr>
        <w:t xml:space="preserve">со која мрежите на граѓанските организации </w:t>
      </w:r>
      <w:r w:rsidR="00B43F6B">
        <w:rPr>
          <w:rFonts w:asciiTheme="majorHAnsi" w:hAnsiTheme="majorHAnsi" w:cstheme="majorHAnsi"/>
          <w:lang w:val="mk-MK"/>
        </w:rPr>
        <w:t>апликанти</w:t>
      </w:r>
      <w:r w:rsidR="0070712F" w:rsidRPr="00B43F6B">
        <w:rPr>
          <w:rFonts w:asciiTheme="majorHAnsi" w:hAnsiTheme="majorHAnsi" w:cstheme="majorHAnsi"/>
          <w:lang w:val="mk-MK"/>
        </w:rPr>
        <w:t xml:space="preserve"> веќе имаат остварено соработка. </w:t>
      </w:r>
      <w:r w:rsidR="0070712F" w:rsidRPr="00B43F6B">
        <w:rPr>
          <w:rFonts w:asciiTheme="majorHAnsi" w:hAnsiTheme="majorHAnsi" w:cstheme="majorHAnsi"/>
          <w:u w:val="single"/>
          <w:lang w:val="mk-MK"/>
        </w:rPr>
        <w:t>Проектот ќе ги дополнува таквите вмрежувања помеѓу владите преку промоција на ефикасно вмрежување помеѓу другите категории чинители</w:t>
      </w:r>
      <w:r w:rsidR="0070712F" w:rsidRPr="00B43F6B">
        <w:rPr>
          <w:rFonts w:asciiTheme="majorHAnsi" w:hAnsiTheme="majorHAnsi" w:cstheme="majorHAnsi"/>
          <w:lang w:val="mk-MK"/>
        </w:rPr>
        <w:t xml:space="preserve">.  Особено ќе цели кон помагање на селските заедници да го споделат искуството на практичната локална акција и да го зголемат гласот на руралните заедници на општинско, регионално и национално ниво; ЛЕАДЕР групите и другите </w:t>
      </w:r>
      <w:r w:rsidR="00B43F6B">
        <w:rPr>
          <w:rFonts w:asciiTheme="majorHAnsi" w:hAnsiTheme="majorHAnsi" w:cstheme="majorHAnsi"/>
          <w:lang w:val="mk-MK"/>
        </w:rPr>
        <w:t>под</w:t>
      </w:r>
      <w:r w:rsidR="0070712F" w:rsidRPr="00B43F6B">
        <w:rPr>
          <w:rFonts w:asciiTheme="majorHAnsi" w:hAnsiTheme="majorHAnsi" w:cstheme="majorHAnsi"/>
          <w:lang w:val="mk-MK"/>
        </w:rPr>
        <w:t xml:space="preserve">регионални партнерства за размена на искуството и спроведување на нивното колективно влијание врз целокупниот развоен процес; како и граѓанските организации, да го зајакнат својот профил и својот капацитет во рамките на граѓанското општество на социјално поле и на поле на животната средина. </w:t>
      </w:r>
    </w:p>
    <w:p w:rsidR="000B38C5" w:rsidRPr="00B43F6B" w:rsidRDefault="0070712F" w:rsidP="000B38C5">
      <w:pPr>
        <w:spacing w:after="120"/>
        <w:jc w:val="both"/>
        <w:rPr>
          <w:rFonts w:asciiTheme="majorHAnsi" w:hAnsiTheme="majorHAnsi" w:cstheme="majorHAnsi"/>
          <w:lang w:val="mk-MK"/>
        </w:rPr>
      </w:pPr>
      <w:r w:rsidRPr="00B43F6B">
        <w:rPr>
          <w:rFonts w:asciiTheme="majorHAnsi" w:hAnsiTheme="majorHAnsi" w:cstheme="majorHAnsi"/>
          <w:lang w:val="mk-MK"/>
        </w:rPr>
        <w:t xml:space="preserve">Во рамките на овој контекст, </w:t>
      </w:r>
      <w:r w:rsidRPr="00B43F6B">
        <w:rPr>
          <w:rFonts w:asciiTheme="majorHAnsi" w:hAnsiTheme="majorHAnsi" w:cstheme="majorHAnsi"/>
          <w:b/>
          <w:lang w:val="mk-MK"/>
        </w:rPr>
        <w:t xml:space="preserve">Акцијата под наслов Активни локални територии </w:t>
      </w:r>
      <w:r w:rsidR="00F35BE6" w:rsidRPr="00B43F6B">
        <w:rPr>
          <w:rFonts w:asciiTheme="majorHAnsi" w:hAnsiTheme="majorHAnsi" w:cstheme="majorHAnsi"/>
          <w:b/>
          <w:lang w:val="mk-MK"/>
        </w:rPr>
        <w:t>за економски развој на руралните области</w:t>
      </w:r>
      <w:r w:rsidR="00F35BE6" w:rsidRPr="00B43F6B">
        <w:rPr>
          <w:rFonts w:asciiTheme="majorHAnsi" w:hAnsiTheme="majorHAnsi" w:cstheme="majorHAnsi"/>
          <w:lang w:val="mk-MK"/>
        </w:rPr>
        <w:t>,</w:t>
      </w:r>
      <w:r w:rsidR="0023007B" w:rsidRPr="00B43F6B">
        <w:rPr>
          <w:rFonts w:asciiTheme="majorHAnsi" w:hAnsiTheme="majorHAnsi" w:cstheme="majorHAnsi"/>
          <w:lang w:val="mk-MK"/>
        </w:rPr>
        <w:t xml:space="preserve"> има за цел да стимулира овозмож</w:t>
      </w:r>
      <w:r w:rsidR="00F35BE6" w:rsidRPr="00B43F6B">
        <w:rPr>
          <w:rFonts w:asciiTheme="majorHAnsi" w:hAnsiTheme="majorHAnsi" w:cstheme="majorHAnsi"/>
          <w:lang w:val="mk-MK"/>
        </w:rPr>
        <w:t xml:space="preserve">ување правна и финансиска средина за граѓанското општество, како и да ги оснажни граѓанското општество, во насока на поголема ефикасност и одговорните независни актери, да го подобрат својот капацитет да водат дијалог со владите, влијаејќи врз процесите на носење политики и одлуки за одржлив развој на руралните заедници и нивна одговорност за својата работа пред граѓаните и општеството. </w:t>
      </w:r>
    </w:p>
    <w:p w:rsidR="002926A7" w:rsidRPr="00B43F6B" w:rsidRDefault="00F35BE6" w:rsidP="00495227">
      <w:pPr>
        <w:spacing w:after="120"/>
        <w:jc w:val="both"/>
        <w:rPr>
          <w:rFonts w:asciiTheme="majorHAnsi" w:hAnsiTheme="majorHAnsi" w:cstheme="majorHAnsi"/>
          <w:lang w:val="mk-MK"/>
        </w:rPr>
      </w:pPr>
      <w:r w:rsidRPr="00B43F6B">
        <w:rPr>
          <w:rFonts w:asciiTheme="majorHAnsi" w:hAnsiTheme="majorHAnsi" w:cstheme="majorHAnsi"/>
          <w:lang w:val="mk-MK"/>
        </w:rPr>
        <w:t xml:space="preserve">Акцијата официјално започна во декември 2015 година, а има </w:t>
      </w:r>
      <w:r w:rsidR="00B43F6B" w:rsidRPr="00B43F6B">
        <w:rPr>
          <w:rFonts w:asciiTheme="majorHAnsi" w:hAnsiTheme="majorHAnsi" w:cstheme="majorHAnsi"/>
          <w:lang w:val="mk-MK"/>
        </w:rPr>
        <w:t>времетраење</w:t>
      </w:r>
      <w:r w:rsidRPr="00B43F6B">
        <w:rPr>
          <w:rFonts w:asciiTheme="majorHAnsi" w:hAnsiTheme="majorHAnsi" w:cstheme="majorHAnsi"/>
          <w:lang w:val="mk-MK"/>
        </w:rPr>
        <w:t xml:space="preserve"> од 40 месеци. Во неа се вклучени седум корисници на ИПА и двајца партнери од земјите на ЕУ; имено, Албанија, Босна и Херцеговина, Македонија, Црна Гора, Косово</w:t>
      </w:r>
      <w:r w:rsidR="00E44170" w:rsidRPr="00B43F6B">
        <w:rPr>
          <w:rFonts w:asciiTheme="majorHAnsi" w:hAnsiTheme="majorHAnsi" w:cstheme="majorHAnsi"/>
          <w:lang w:val="mk-MK"/>
        </w:rPr>
        <w:t>*</w:t>
      </w:r>
      <w:r w:rsidRPr="00B43F6B">
        <w:rPr>
          <w:rFonts w:asciiTheme="majorHAnsi" w:hAnsiTheme="majorHAnsi" w:cstheme="majorHAnsi"/>
          <w:lang w:val="mk-MK"/>
        </w:rPr>
        <w:t>, Србија, Турција, Хрватска и Латвија</w:t>
      </w:r>
      <w:r w:rsidR="00E44170" w:rsidRPr="00B43F6B">
        <w:rPr>
          <w:rFonts w:asciiTheme="majorHAnsi" w:hAnsiTheme="majorHAnsi" w:cstheme="majorHAnsi"/>
          <w:lang w:val="mk-MK"/>
        </w:rPr>
        <w:t xml:space="preserve">. Проектните партнери се следниве: </w:t>
      </w:r>
    </w:p>
    <w:p w:rsidR="00743D77" w:rsidRPr="00B43F6B" w:rsidRDefault="00743D77" w:rsidP="00F15330">
      <w:pPr>
        <w:pStyle w:val="ListParagraph"/>
        <w:numPr>
          <w:ilvl w:val="0"/>
          <w:numId w:val="10"/>
        </w:numPr>
        <w:spacing w:after="120"/>
        <w:jc w:val="both"/>
        <w:rPr>
          <w:rFonts w:asciiTheme="majorHAnsi" w:hAnsiTheme="majorHAnsi" w:cstheme="majorHAnsi"/>
          <w:lang w:val="mk-MK"/>
        </w:rPr>
      </w:pPr>
      <w:r w:rsidRPr="00B43F6B">
        <w:rPr>
          <w:rFonts w:asciiTheme="majorHAnsi" w:hAnsiTheme="majorHAnsi" w:cstheme="majorHAnsi"/>
          <w:lang w:val="mk-MK"/>
        </w:rPr>
        <w:t xml:space="preserve">Мрежа за рурален развој на Србија, Србија како проектен координатор; </w:t>
      </w:r>
    </w:p>
    <w:p w:rsidR="00743D77" w:rsidRPr="00B43F6B" w:rsidRDefault="00743D77" w:rsidP="00F15330">
      <w:pPr>
        <w:pStyle w:val="ListParagraph"/>
        <w:numPr>
          <w:ilvl w:val="0"/>
          <w:numId w:val="10"/>
        </w:numPr>
        <w:spacing w:after="120"/>
        <w:jc w:val="both"/>
        <w:rPr>
          <w:rFonts w:asciiTheme="majorHAnsi" w:hAnsiTheme="majorHAnsi" w:cstheme="majorHAnsi"/>
          <w:lang w:val="mk-MK"/>
        </w:rPr>
      </w:pPr>
      <w:r w:rsidRPr="00B43F6B">
        <w:rPr>
          <w:rFonts w:asciiTheme="majorHAnsi" w:hAnsiTheme="majorHAnsi" w:cstheme="majorHAnsi"/>
          <w:lang w:val="mk-MK"/>
        </w:rPr>
        <w:t xml:space="preserve">Развојна фондација на Турција, Турција; </w:t>
      </w:r>
    </w:p>
    <w:p w:rsidR="00743D77" w:rsidRPr="00B43F6B" w:rsidRDefault="00743D77" w:rsidP="00F15330">
      <w:pPr>
        <w:pStyle w:val="ListParagraph"/>
        <w:numPr>
          <w:ilvl w:val="0"/>
          <w:numId w:val="10"/>
        </w:numPr>
        <w:spacing w:after="120"/>
        <w:jc w:val="both"/>
        <w:rPr>
          <w:rFonts w:asciiTheme="majorHAnsi" w:hAnsiTheme="majorHAnsi" w:cstheme="majorHAnsi"/>
          <w:lang w:val="mk-MK"/>
        </w:rPr>
      </w:pPr>
      <w:r w:rsidRPr="00B43F6B">
        <w:rPr>
          <w:rFonts w:asciiTheme="majorHAnsi" w:hAnsiTheme="majorHAnsi" w:cstheme="majorHAnsi"/>
          <w:lang w:val="mk-MK"/>
        </w:rPr>
        <w:t xml:space="preserve">Мрежа за рурален развој на Црна Гора, Црна Гора; </w:t>
      </w:r>
    </w:p>
    <w:p w:rsidR="00743D77" w:rsidRPr="00B43F6B" w:rsidRDefault="00743D77" w:rsidP="00F15330">
      <w:pPr>
        <w:pStyle w:val="ListParagraph"/>
        <w:numPr>
          <w:ilvl w:val="0"/>
          <w:numId w:val="10"/>
        </w:numPr>
        <w:spacing w:after="120"/>
        <w:jc w:val="both"/>
        <w:rPr>
          <w:rFonts w:asciiTheme="majorHAnsi" w:hAnsiTheme="majorHAnsi" w:cstheme="majorHAnsi"/>
          <w:lang w:val="mk-MK"/>
        </w:rPr>
      </w:pPr>
      <w:r w:rsidRPr="00B43F6B">
        <w:rPr>
          <w:rFonts w:asciiTheme="majorHAnsi" w:hAnsiTheme="majorHAnsi" w:cstheme="majorHAnsi"/>
          <w:lang w:val="mk-MK"/>
        </w:rPr>
        <w:t xml:space="preserve">Мрежа за рурален развој на </w:t>
      </w:r>
      <w:r w:rsidR="00D66B3F">
        <w:rPr>
          <w:rFonts w:asciiTheme="majorHAnsi" w:hAnsiTheme="majorHAnsi" w:cstheme="majorHAnsi"/>
          <w:lang w:val="mk-MK"/>
        </w:rPr>
        <w:t xml:space="preserve">Република </w:t>
      </w:r>
      <w:r w:rsidRPr="00B43F6B">
        <w:rPr>
          <w:rFonts w:asciiTheme="majorHAnsi" w:hAnsiTheme="majorHAnsi" w:cstheme="majorHAnsi"/>
          <w:lang w:val="mk-MK"/>
        </w:rPr>
        <w:t xml:space="preserve">Македонија, Македонија; </w:t>
      </w:r>
    </w:p>
    <w:p w:rsidR="00743D77" w:rsidRPr="00B43F6B" w:rsidRDefault="00743D77" w:rsidP="00F15330">
      <w:pPr>
        <w:pStyle w:val="ListParagraph"/>
        <w:numPr>
          <w:ilvl w:val="0"/>
          <w:numId w:val="10"/>
        </w:numPr>
        <w:spacing w:after="120"/>
        <w:jc w:val="both"/>
        <w:rPr>
          <w:rFonts w:asciiTheme="majorHAnsi" w:hAnsiTheme="majorHAnsi" w:cstheme="majorHAnsi"/>
          <w:lang w:val="mk-MK"/>
        </w:rPr>
      </w:pPr>
      <w:r w:rsidRPr="00B43F6B">
        <w:rPr>
          <w:rFonts w:asciiTheme="majorHAnsi" w:hAnsiTheme="majorHAnsi" w:cstheme="majorHAnsi"/>
          <w:lang w:val="mk-MK"/>
        </w:rPr>
        <w:t xml:space="preserve">Мрежа за рурален развој на Босна и Херцеговина, Босна и Херцеговина; </w:t>
      </w:r>
    </w:p>
    <w:p w:rsidR="00743D77" w:rsidRPr="00B43F6B" w:rsidRDefault="00743D77" w:rsidP="00F15330">
      <w:pPr>
        <w:pStyle w:val="ListParagraph"/>
        <w:numPr>
          <w:ilvl w:val="0"/>
          <w:numId w:val="10"/>
        </w:numPr>
        <w:spacing w:after="120"/>
        <w:jc w:val="both"/>
        <w:rPr>
          <w:rFonts w:asciiTheme="majorHAnsi" w:hAnsiTheme="majorHAnsi" w:cstheme="majorHAnsi"/>
          <w:lang w:val="mk-MK"/>
        </w:rPr>
      </w:pPr>
      <w:r w:rsidRPr="00B43F6B">
        <w:rPr>
          <w:rFonts w:asciiTheme="majorHAnsi" w:hAnsiTheme="majorHAnsi" w:cstheme="majorHAnsi"/>
          <w:lang w:val="mk-MK"/>
        </w:rPr>
        <w:t xml:space="preserve">Институт за демократија и посредување, Албанија; </w:t>
      </w:r>
    </w:p>
    <w:p w:rsidR="00743D77" w:rsidRPr="00B43F6B" w:rsidRDefault="00743D77" w:rsidP="00F15330">
      <w:pPr>
        <w:pStyle w:val="ListParagraph"/>
        <w:numPr>
          <w:ilvl w:val="0"/>
          <w:numId w:val="10"/>
        </w:numPr>
        <w:spacing w:after="120"/>
        <w:jc w:val="both"/>
        <w:rPr>
          <w:rFonts w:asciiTheme="majorHAnsi" w:hAnsiTheme="majorHAnsi" w:cstheme="majorHAnsi"/>
          <w:lang w:val="mk-MK"/>
        </w:rPr>
      </w:pPr>
      <w:r w:rsidRPr="00B43F6B">
        <w:rPr>
          <w:rFonts w:asciiTheme="majorHAnsi" w:hAnsiTheme="majorHAnsi" w:cstheme="majorHAnsi"/>
          <w:lang w:val="mk-MK"/>
        </w:rPr>
        <w:t xml:space="preserve">Мрежа на организации за рурален развој на Косово, Косово; </w:t>
      </w:r>
    </w:p>
    <w:p w:rsidR="00743D77" w:rsidRPr="00B43F6B" w:rsidRDefault="00743D77" w:rsidP="00F15330">
      <w:pPr>
        <w:pStyle w:val="ListParagraph"/>
        <w:numPr>
          <w:ilvl w:val="0"/>
          <w:numId w:val="10"/>
        </w:numPr>
        <w:spacing w:after="120"/>
        <w:jc w:val="both"/>
        <w:rPr>
          <w:rFonts w:asciiTheme="majorHAnsi" w:hAnsiTheme="majorHAnsi" w:cstheme="majorHAnsi"/>
          <w:lang w:val="mk-MK"/>
        </w:rPr>
      </w:pPr>
      <w:r w:rsidRPr="00B43F6B">
        <w:rPr>
          <w:rFonts w:asciiTheme="majorHAnsi" w:hAnsiTheme="majorHAnsi" w:cstheme="majorHAnsi"/>
          <w:lang w:val="mk-MK"/>
        </w:rPr>
        <w:t xml:space="preserve">Хрватска мрежа за рурален развој, Хрватска; </w:t>
      </w:r>
    </w:p>
    <w:p w:rsidR="00743D77" w:rsidRPr="00B43F6B" w:rsidRDefault="00743D77" w:rsidP="00F15330">
      <w:pPr>
        <w:pStyle w:val="ListParagraph"/>
        <w:numPr>
          <w:ilvl w:val="0"/>
          <w:numId w:val="10"/>
        </w:numPr>
        <w:spacing w:after="120"/>
        <w:jc w:val="both"/>
        <w:rPr>
          <w:rFonts w:asciiTheme="majorHAnsi" w:hAnsiTheme="majorHAnsi" w:cstheme="majorHAnsi"/>
          <w:lang w:val="mk-MK"/>
        </w:rPr>
      </w:pPr>
      <w:r w:rsidRPr="00B43F6B">
        <w:rPr>
          <w:rFonts w:asciiTheme="majorHAnsi" w:hAnsiTheme="majorHAnsi" w:cstheme="majorHAnsi"/>
          <w:lang w:val="mk-MK"/>
        </w:rPr>
        <w:t xml:space="preserve">Латвиски рурален форум, Латвија. </w:t>
      </w:r>
    </w:p>
    <w:p w:rsidR="00C6064A" w:rsidRPr="00B43F6B" w:rsidRDefault="00C6064A" w:rsidP="00E3105D">
      <w:pPr>
        <w:spacing w:after="120"/>
        <w:jc w:val="both"/>
        <w:rPr>
          <w:rFonts w:asciiTheme="majorHAnsi" w:hAnsiTheme="majorHAnsi" w:cstheme="majorHAnsi"/>
          <w:lang w:val="mk-MK"/>
        </w:rPr>
      </w:pPr>
      <w:r w:rsidRPr="00B43F6B">
        <w:rPr>
          <w:rFonts w:asciiTheme="majorHAnsi" w:hAnsiTheme="majorHAnsi" w:cstheme="majorHAnsi"/>
          <w:lang w:val="mk-MK"/>
        </w:rPr>
        <w:t xml:space="preserve">Во рамките на Акцијата, изградбата на капацитетите на организациите од граѓанското општество од секоја од седумте земји е цел преку доделување финансиска поддршка. Следствено, организациите кориснички ќе ко зголемат своето знаење и </w:t>
      </w:r>
      <w:r w:rsidR="00B43F6B" w:rsidRPr="00B43F6B">
        <w:rPr>
          <w:rFonts w:asciiTheme="majorHAnsi" w:hAnsiTheme="majorHAnsi" w:cstheme="majorHAnsi"/>
          <w:lang w:val="mk-MK"/>
        </w:rPr>
        <w:t>техничка</w:t>
      </w:r>
      <w:r w:rsidRPr="00B43F6B">
        <w:rPr>
          <w:rFonts w:asciiTheme="majorHAnsi" w:hAnsiTheme="majorHAnsi" w:cstheme="majorHAnsi"/>
          <w:lang w:val="mk-MK"/>
        </w:rPr>
        <w:t xml:space="preserve"> позадина да обезбедуваат поддршка на одржлив развој на заедниците, врз основа на локалните ресурси и меѓусекторска соработка и добра пракса на ЕУ, имено ЛЕАДЕР пристапот. </w:t>
      </w:r>
    </w:p>
    <w:p w:rsidR="00B15330" w:rsidRPr="00B43F6B" w:rsidRDefault="00C6064A" w:rsidP="00F15330">
      <w:pPr>
        <w:pStyle w:val="Heading2"/>
        <w:numPr>
          <w:ilvl w:val="1"/>
          <w:numId w:val="13"/>
        </w:numPr>
        <w:spacing w:before="240" w:after="240"/>
        <w:ind w:left="994" w:hanging="634"/>
        <w:rPr>
          <w:color w:val="365F91" w:themeColor="accent1" w:themeShade="BF"/>
          <w:lang w:val="mk-MK"/>
        </w:rPr>
      </w:pPr>
      <w:bookmarkStart w:id="1" w:name="_Toc498020881"/>
      <w:r w:rsidRPr="00B43F6B">
        <w:rPr>
          <w:color w:val="365F91" w:themeColor="accent1" w:themeShade="BF"/>
          <w:lang w:val="mk-MK"/>
        </w:rPr>
        <w:lastRenderedPageBreak/>
        <w:t xml:space="preserve">Цел на </w:t>
      </w:r>
      <w:bookmarkEnd w:id="1"/>
      <w:r w:rsidR="00B43F6B" w:rsidRPr="00B43F6B">
        <w:rPr>
          <w:color w:val="365F91" w:themeColor="accent1" w:themeShade="BF"/>
          <w:lang w:val="mk-MK"/>
        </w:rPr>
        <w:t>програмата</w:t>
      </w:r>
      <w:r w:rsidRPr="00B43F6B">
        <w:rPr>
          <w:color w:val="365F91" w:themeColor="accent1" w:themeShade="BF"/>
          <w:lang w:val="mk-MK"/>
        </w:rPr>
        <w:t xml:space="preserve"> </w:t>
      </w:r>
    </w:p>
    <w:p w:rsidR="00C6064A" w:rsidRPr="00B43F6B" w:rsidRDefault="00C6064A" w:rsidP="008E6BDD">
      <w:pPr>
        <w:spacing w:after="120"/>
        <w:jc w:val="both"/>
        <w:rPr>
          <w:rFonts w:ascii="Calibri" w:hAnsi="Calibri"/>
          <w:lang w:val="mk-MK"/>
        </w:rPr>
      </w:pPr>
      <w:r w:rsidRPr="00B43F6B">
        <w:rPr>
          <w:rFonts w:ascii="Calibri" w:hAnsi="Calibri"/>
          <w:lang w:val="mk-MK"/>
        </w:rPr>
        <w:t xml:space="preserve">Земјите од Западниот Балкан и Турција се соочуваат со мноштво економски предизвици. Руралните области, со нивните природни и човечки ресурси, силната земјоделска традиција и културно </w:t>
      </w:r>
      <w:r w:rsidR="00B43F6B" w:rsidRPr="00B43F6B">
        <w:rPr>
          <w:rFonts w:ascii="Calibri" w:hAnsi="Calibri"/>
          <w:lang w:val="mk-MK"/>
        </w:rPr>
        <w:t>наследство</w:t>
      </w:r>
      <w:r w:rsidRPr="00B43F6B">
        <w:rPr>
          <w:rFonts w:ascii="Calibri" w:hAnsi="Calibri"/>
          <w:lang w:val="mk-MK"/>
        </w:rPr>
        <w:t xml:space="preserve">, можат да играат главна улога во </w:t>
      </w:r>
      <w:r w:rsidR="00261CAE" w:rsidRPr="00B43F6B">
        <w:rPr>
          <w:rFonts w:ascii="Calibri" w:hAnsi="Calibri"/>
          <w:lang w:val="mk-MK"/>
        </w:rPr>
        <w:t xml:space="preserve">борбата со тие </w:t>
      </w:r>
      <w:r w:rsidR="00B43F6B" w:rsidRPr="00B43F6B">
        <w:rPr>
          <w:rFonts w:ascii="Calibri" w:hAnsi="Calibri"/>
          <w:lang w:val="mk-MK"/>
        </w:rPr>
        <w:t>предизвици</w:t>
      </w:r>
      <w:r w:rsidR="00261CAE" w:rsidRPr="00B43F6B">
        <w:rPr>
          <w:rFonts w:ascii="Calibri" w:hAnsi="Calibri"/>
          <w:lang w:val="mk-MK"/>
        </w:rPr>
        <w:t xml:space="preserve">. Во сите земји течат активни процеси за рурален развој. Некои веќе спроведуваат, или пак наскоро ќе почнат да </w:t>
      </w:r>
      <w:r w:rsidR="00B43F6B" w:rsidRPr="00B43F6B">
        <w:rPr>
          <w:rFonts w:ascii="Calibri" w:hAnsi="Calibri"/>
          <w:lang w:val="mk-MK"/>
        </w:rPr>
        <w:t>спроведуваат</w:t>
      </w:r>
      <w:r w:rsidR="00261CAE" w:rsidRPr="00B43F6B">
        <w:rPr>
          <w:rFonts w:ascii="Calibri" w:hAnsi="Calibri"/>
          <w:lang w:val="mk-MK"/>
        </w:rPr>
        <w:t xml:space="preserve"> ИПАРД програми кофинансирани преку ЕУ. Во овие земји постои огромен интерес за </w:t>
      </w:r>
      <w:r w:rsidR="00B43F6B" w:rsidRPr="00B43F6B">
        <w:rPr>
          <w:rFonts w:ascii="Calibri" w:hAnsi="Calibri"/>
          <w:lang w:val="mk-MK"/>
        </w:rPr>
        <w:t>пристапот</w:t>
      </w:r>
      <w:r w:rsidR="00261CAE" w:rsidRPr="00B43F6B">
        <w:rPr>
          <w:rFonts w:ascii="Calibri" w:hAnsi="Calibri"/>
          <w:lang w:val="mk-MK"/>
        </w:rPr>
        <w:t xml:space="preserve"> на ЕУ кон </w:t>
      </w:r>
      <w:r w:rsidR="00DB6CF5">
        <w:rPr>
          <w:rFonts w:ascii="Calibri" w:hAnsi="Calibri"/>
          <w:lang w:val="mk-MK"/>
        </w:rPr>
        <w:t xml:space="preserve">одржлив социо-економски развој </w:t>
      </w:r>
      <w:r w:rsidR="00261CAE" w:rsidRPr="00B43F6B">
        <w:rPr>
          <w:rFonts w:ascii="Calibri" w:hAnsi="Calibri"/>
          <w:lang w:val="mk-MK"/>
        </w:rPr>
        <w:t>н</w:t>
      </w:r>
      <w:r w:rsidR="00DB6CF5">
        <w:rPr>
          <w:rFonts w:ascii="Calibri" w:hAnsi="Calibri"/>
        </w:rPr>
        <w:t>a</w:t>
      </w:r>
      <w:r w:rsidR="00261CAE" w:rsidRPr="00B43F6B">
        <w:rPr>
          <w:rFonts w:ascii="Calibri" w:hAnsi="Calibri"/>
          <w:lang w:val="mk-MK"/>
        </w:rPr>
        <w:t xml:space="preserve"> руралните области, вклучително </w:t>
      </w:r>
      <w:r w:rsidR="00B43F6B">
        <w:rPr>
          <w:rFonts w:ascii="Calibri" w:hAnsi="Calibri"/>
          <w:lang w:val="mk-MK"/>
        </w:rPr>
        <w:t>и за принципите на ЛЕАДЕР, а под</w:t>
      </w:r>
      <w:r w:rsidR="00261CAE" w:rsidRPr="00B43F6B">
        <w:rPr>
          <w:rFonts w:ascii="Calibri" w:hAnsi="Calibri"/>
          <w:lang w:val="mk-MK"/>
        </w:rPr>
        <w:t>регионални партнерства изграде</w:t>
      </w:r>
      <w:r w:rsidR="00B33FBD" w:rsidRPr="00B43F6B">
        <w:rPr>
          <w:rFonts w:ascii="Calibri" w:hAnsi="Calibri"/>
          <w:lang w:val="mk-MK"/>
        </w:rPr>
        <w:t>н</w:t>
      </w:r>
      <w:r w:rsidR="00261CAE" w:rsidRPr="00B43F6B">
        <w:rPr>
          <w:rFonts w:ascii="Calibri" w:hAnsi="Calibri"/>
          <w:lang w:val="mk-MK"/>
        </w:rPr>
        <w:t xml:space="preserve">и врз моделот на ЛЕАДЕР се сѐ поголеми на број. Заради тоа, учеството на граѓанското општество </w:t>
      </w:r>
      <w:r w:rsidR="0023007B" w:rsidRPr="00B43F6B">
        <w:rPr>
          <w:rFonts w:ascii="Calibri" w:hAnsi="Calibri"/>
          <w:lang w:val="mk-MK"/>
        </w:rPr>
        <w:t xml:space="preserve">во овие процеси е од клучно значење за зајакнување на партиципативните демократии, зајакнување на сопственоста на одлуките што влијаат врз иднината на општеството и помош при остварување одржлив рурален развој. </w:t>
      </w:r>
    </w:p>
    <w:p w:rsidR="00667281" w:rsidRPr="00B43F6B" w:rsidRDefault="00B43F6B" w:rsidP="008E6BDD">
      <w:pPr>
        <w:spacing w:after="120"/>
        <w:jc w:val="both"/>
        <w:rPr>
          <w:rFonts w:ascii="Calibri" w:hAnsi="Calibri" w:cs="Arial"/>
          <w:shd w:val="clear" w:color="auto" w:fill="FFFFFF"/>
          <w:lang w:val="mk-MK"/>
        </w:rPr>
      </w:pPr>
      <w:r w:rsidRPr="00B43F6B">
        <w:rPr>
          <w:rFonts w:ascii="Calibri" w:hAnsi="Calibri"/>
          <w:lang w:val="mk-MK"/>
        </w:rPr>
        <w:t>Севкупната</w:t>
      </w:r>
      <w:r w:rsidR="0023007B" w:rsidRPr="00B43F6B">
        <w:rPr>
          <w:rFonts w:ascii="Calibri" w:hAnsi="Calibri"/>
          <w:lang w:val="mk-MK"/>
        </w:rPr>
        <w:t xml:space="preserve"> цел на програмата е да </w:t>
      </w:r>
      <w:r w:rsidR="0023007B" w:rsidRPr="00B43F6B">
        <w:rPr>
          <w:rFonts w:asciiTheme="majorHAnsi" w:hAnsiTheme="majorHAnsi" w:cstheme="majorHAnsi"/>
          <w:lang w:val="mk-MK"/>
        </w:rPr>
        <w:t>има за цел да стимулира овозможување правна и финансиска средина за граѓанското општество, како и да ги оснажни граѓанското општество, во насока на поголема ефикасност и одговорните независни актери, да го подобрат својот капацитет да водат дијалог со владите, влијаејќи врз процесите на носење политики и одлуки за одржлив развој на руралните заедници и нивна одговорност за својата работа пред граѓаните и општеството.</w:t>
      </w:r>
    </w:p>
    <w:p w:rsidR="008E6BDD" w:rsidRPr="00B43F6B" w:rsidRDefault="0023007B" w:rsidP="008E6BDD">
      <w:pPr>
        <w:spacing w:after="120" w:line="276" w:lineRule="auto"/>
        <w:jc w:val="both"/>
        <w:rPr>
          <w:rFonts w:ascii="Calibri" w:hAnsi="Calibri" w:cs="Arial"/>
          <w:b/>
          <w:lang w:val="mk-MK"/>
        </w:rPr>
      </w:pPr>
      <w:r w:rsidRPr="00B43F6B">
        <w:rPr>
          <w:rFonts w:ascii="Calibri" w:hAnsi="Calibri" w:cs="Arial"/>
          <w:b/>
          <w:lang w:val="mk-MK"/>
        </w:rPr>
        <w:t>Посебните цели се следниве</w:t>
      </w:r>
      <w:r w:rsidR="008E6BDD" w:rsidRPr="00B43F6B">
        <w:rPr>
          <w:rFonts w:ascii="Calibri" w:hAnsi="Calibri" w:cs="Arial"/>
          <w:b/>
          <w:lang w:val="mk-MK"/>
        </w:rPr>
        <w:t>:</w:t>
      </w:r>
    </w:p>
    <w:p w:rsidR="00724C3E" w:rsidRPr="00B43F6B" w:rsidRDefault="008E6BDD" w:rsidP="008E6BDD">
      <w:pPr>
        <w:spacing w:after="120"/>
        <w:jc w:val="both"/>
        <w:rPr>
          <w:rFonts w:ascii="Calibri" w:hAnsi="Calibri"/>
          <w:lang w:val="mk-MK"/>
        </w:rPr>
      </w:pPr>
      <w:r w:rsidRPr="00B43F6B">
        <w:rPr>
          <w:rFonts w:ascii="Calibri" w:hAnsi="Calibri"/>
          <w:lang w:val="mk-MK"/>
        </w:rPr>
        <w:t xml:space="preserve">1) </w:t>
      </w:r>
      <w:r w:rsidR="00724C3E" w:rsidRPr="00B43F6B">
        <w:rPr>
          <w:rFonts w:ascii="Calibri" w:hAnsi="Calibri"/>
          <w:lang w:val="mk-MK"/>
        </w:rPr>
        <w:t xml:space="preserve">Да се зајакне капацитетот на организациите од граѓанското општество и нивните мрежи, што ќе придонесе кон одржлив социо-економски развој на руралните области на Западниот Балкан и Турција, за активно учество во планирање и спроведување политики и изградба на силно граѓанско </w:t>
      </w:r>
      <w:r w:rsidR="00B43F6B" w:rsidRPr="00B43F6B">
        <w:rPr>
          <w:rFonts w:ascii="Calibri" w:hAnsi="Calibri"/>
          <w:lang w:val="mk-MK"/>
        </w:rPr>
        <w:t>општество</w:t>
      </w:r>
      <w:r w:rsidR="00724C3E" w:rsidRPr="00B43F6B">
        <w:rPr>
          <w:rFonts w:ascii="Calibri" w:hAnsi="Calibri"/>
          <w:lang w:val="mk-MK"/>
        </w:rPr>
        <w:t xml:space="preserve"> во руралните области; како и зајакнување на регионалниот развој преку вмрежување и соработка. </w:t>
      </w:r>
    </w:p>
    <w:p w:rsidR="005F3E10" w:rsidRPr="00B43F6B" w:rsidRDefault="008E6BDD" w:rsidP="008E6BDD">
      <w:pPr>
        <w:spacing w:after="120"/>
        <w:jc w:val="both"/>
        <w:rPr>
          <w:rFonts w:ascii="Calibri" w:hAnsi="Calibri"/>
          <w:lang w:val="mk-MK"/>
        </w:rPr>
      </w:pPr>
      <w:r w:rsidRPr="00B43F6B">
        <w:rPr>
          <w:rFonts w:ascii="Calibri" w:hAnsi="Calibri"/>
          <w:lang w:val="mk-MK"/>
        </w:rPr>
        <w:t>2)</w:t>
      </w:r>
      <w:r w:rsidR="005F3E10" w:rsidRPr="00B43F6B">
        <w:rPr>
          <w:rFonts w:ascii="Calibri" w:hAnsi="Calibri"/>
          <w:lang w:val="mk-MK"/>
        </w:rPr>
        <w:t xml:space="preserve"> Да се изградат партнерства на организациите од граѓанското општество и нивните мрежи со јавните институции и нивно вклучување во процесите на носење одлуки и владеење, за добросостојбата на руралните заедници во тие земји. </w:t>
      </w:r>
    </w:p>
    <w:p w:rsidR="00B15330" w:rsidRPr="00B43F6B" w:rsidRDefault="005F3E10" w:rsidP="00F15330">
      <w:pPr>
        <w:pStyle w:val="Heading2"/>
        <w:numPr>
          <w:ilvl w:val="1"/>
          <w:numId w:val="13"/>
        </w:numPr>
        <w:spacing w:before="240" w:after="240"/>
        <w:ind w:left="994" w:hanging="634"/>
        <w:rPr>
          <w:rFonts w:ascii="Calibri" w:hAnsi="Calibri"/>
          <w:color w:val="365F91" w:themeColor="accent1" w:themeShade="BF"/>
          <w:lang w:val="mk-MK"/>
        </w:rPr>
      </w:pPr>
      <w:bookmarkStart w:id="2" w:name="_Toc498020882"/>
      <w:r w:rsidRPr="00B43F6B">
        <w:rPr>
          <w:color w:val="365F91" w:themeColor="accent1" w:themeShade="BF"/>
          <w:lang w:val="mk-MK"/>
        </w:rPr>
        <w:t>Очекувани исходи од Акцијата</w:t>
      </w:r>
      <w:bookmarkEnd w:id="2"/>
      <w:r w:rsidRPr="00B43F6B">
        <w:rPr>
          <w:color w:val="365F91" w:themeColor="accent1" w:themeShade="BF"/>
          <w:lang w:val="mk-MK"/>
        </w:rPr>
        <w:t xml:space="preserve"> </w:t>
      </w:r>
    </w:p>
    <w:p w:rsidR="005F3E10" w:rsidRPr="00B43F6B" w:rsidRDefault="005F3E10" w:rsidP="004E3356">
      <w:pPr>
        <w:jc w:val="both"/>
        <w:rPr>
          <w:rFonts w:ascii="Calibri" w:hAnsi="Calibri" w:cs="Arial"/>
          <w:lang w:val="mk-MK"/>
        </w:rPr>
      </w:pPr>
      <w:r w:rsidRPr="00B43F6B">
        <w:rPr>
          <w:rFonts w:ascii="Calibri" w:hAnsi="Calibri" w:cs="Arial"/>
          <w:lang w:val="mk-MK"/>
        </w:rPr>
        <w:t xml:space="preserve">Столбовите врз основа на кои лежи остварувањето на целите се зададени со четири посебни резултати, со кои се адресира непреченото водење на Акцијата: </w:t>
      </w:r>
    </w:p>
    <w:p w:rsidR="00EE2043" w:rsidRPr="00B43F6B" w:rsidRDefault="00EE2043" w:rsidP="004E3356">
      <w:pPr>
        <w:pStyle w:val="ListParagraph"/>
        <w:numPr>
          <w:ilvl w:val="0"/>
          <w:numId w:val="3"/>
        </w:numPr>
        <w:jc w:val="both"/>
        <w:rPr>
          <w:rFonts w:ascii="Calibri" w:hAnsi="Calibri" w:cs="Arial"/>
          <w:lang w:val="mk-MK"/>
        </w:rPr>
      </w:pPr>
      <w:r w:rsidRPr="00B43F6B">
        <w:rPr>
          <w:rFonts w:ascii="Calibri" w:hAnsi="Calibri" w:cs="Arial"/>
          <w:lang w:val="mk-MK"/>
        </w:rPr>
        <w:t xml:space="preserve">Промовирани концептите на одржлив социо-економски рурален развој, социјална инклузија на руралните заедници и активно вклучување на </w:t>
      </w:r>
      <w:r w:rsidRPr="00B43F6B">
        <w:rPr>
          <w:rFonts w:ascii="Calibri" w:hAnsi="Calibri"/>
          <w:lang w:val="mk-MK"/>
        </w:rPr>
        <w:t xml:space="preserve">организациите од граѓанското општество во формулацијата и спроведувањето на политиките. </w:t>
      </w:r>
    </w:p>
    <w:p w:rsidR="00EE2043" w:rsidRPr="00B43F6B" w:rsidRDefault="00EE2043" w:rsidP="004E3356">
      <w:pPr>
        <w:pStyle w:val="ListParagraph"/>
        <w:numPr>
          <w:ilvl w:val="0"/>
          <w:numId w:val="3"/>
        </w:numPr>
        <w:jc w:val="both"/>
        <w:rPr>
          <w:rFonts w:ascii="Calibri" w:hAnsi="Calibri" w:cs="Arial"/>
          <w:lang w:val="mk-MK"/>
        </w:rPr>
      </w:pPr>
      <w:r w:rsidRPr="00B43F6B">
        <w:rPr>
          <w:rFonts w:ascii="Calibri" w:hAnsi="Calibri" w:cs="Arial"/>
          <w:lang w:val="mk-MK"/>
        </w:rPr>
        <w:t xml:space="preserve">Зајакнати капацитетите на </w:t>
      </w:r>
      <w:r w:rsidRPr="00B43F6B">
        <w:rPr>
          <w:rFonts w:ascii="Calibri" w:hAnsi="Calibri"/>
          <w:lang w:val="mk-MK"/>
        </w:rPr>
        <w:t xml:space="preserve">организациите од граѓанското општество за застапување на одржлив социо-економски развој; за вмрежување; како и за </w:t>
      </w:r>
      <w:r w:rsidRPr="00B43F6B">
        <w:rPr>
          <w:rFonts w:ascii="Calibri" w:hAnsi="Calibri"/>
          <w:lang w:val="mk-MK"/>
        </w:rPr>
        <w:lastRenderedPageBreak/>
        <w:t>соработка со јавните органи, со цел да се зголеми нивото на признаеност на организациите од граѓанското општество и нивно вклучување во процесите на носење одлуки и создавање средина за ефикасна работа на организациите од граѓанското општество</w:t>
      </w:r>
    </w:p>
    <w:p w:rsidR="00EE2043" w:rsidRPr="00B43F6B" w:rsidRDefault="00EE2043" w:rsidP="004E3356">
      <w:pPr>
        <w:pStyle w:val="ListParagraph"/>
        <w:numPr>
          <w:ilvl w:val="0"/>
          <w:numId w:val="3"/>
        </w:numPr>
        <w:jc w:val="both"/>
        <w:rPr>
          <w:rFonts w:ascii="Calibri" w:hAnsi="Calibri" w:cs="Arial"/>
          <w:lang w:val="mk-MK"/>
        </w:rPr>
      </w:pPr>
      <w:r w:rsidRPr="00B43F6B">
        <w:rPr>
          <w:rFonts w:ascii="Calibri" w:hAnsi="Calibri" w:cs="Arial"/>
          <w:lang w:val="mk-MK"/>
        </w:rPr>
        <w:t xml:space="preserve">Зајакнати менаџерски капацитети и структури за владеење во рамките на </w:t>
      </w:r>
      <w:r w:rsidRPr="00B43F6B">
        <w:rPr>
          <w:rFonts w:ascii="Calibri" w:hAnsi="Calibri"/>
          <w:lang w:val="mk-MK"/>
        </w:rPr>
        <w:t xml:space="preserve">организациите од граѓанското општество и нивните мрежи, како и нивната способност да елаборираат долгорочни организациски </w:t>
      </w:r>
      <w:r w:rsidR="00B43F6B" w:rsidRPr="00B43F6B">
        <w:rPr>
          <w:rFonts w:ascii="Calibri" w:hAnsi="Calibri"/>
          <w:lang w:val="mk-MK"/>
        </w:rPr>
        <w:t>планови</w:t>
      </w:r>
      <w:r w:rsidRPr="00B43F6B">
        <w:rPr>
          <w:rFonts w:ascii="Calibri" w:hAnsi="Calibri"/>
          <w:lang w:val="mk-MK"/>
        </w:rPr>
        <w:t xml:space="preserve">, со што ќе се зајакне нивната ефикасност, нивната способност за привлекување и раководење со диверзифицирани фондови и нивната одговорност кон членовите и корисниците. </w:t>
      </w:r>
    </w:p>
    <w:p w:rsidR="00B15330" w:rsidRPr="00B43F6B" w:rsidRDefault="00554FC0" w:rsidP="0005048C">
      <w:pPr>
        <w:pStyle w:val="ListParagraph"/>
        <w:numPr>
          <w:ilvl w:val="0"/>
          <w:numId w:val="3"/>
        </w:numPr>
        <w:jc w:val="both"/>
        <w:rPr>
          <w:rFonts w:ascii="Calibri" w:hAnsi="Calibri" w:cs="Arial"/>
          <w:lang w:val="mk-MK"/>
        </w:rPr>
      </w:pPr>
      <w:r w:rsidRPr="00B43F6B">
        <w:rPr>
          <w:rFonts w:ascii="Calibri" w:hAnsi="Calibri" w:cs="Arial"/>
          <w:lang w:val="mk-MK"/>
        </w:rPr>
        <w:t xml:space="preserve">Напреднато е нивото на вклученост на </w:t>
      </w:r>
      <w:r w:rsidRPr="00B43F6B">
        <w:rPr>
          <w:rFonts w:ascii="Calibri" w:hAnsi="Calibri"/>
          <w:lang w:val="mk-MK"/>
        </w:rPr>
        <w:t xml:space="preserve">организациите од граѓанското општество и инклузија на граѓаните во сите аспекти на локално владеење, а промовирана е и соработка и партнерство помеѓу различните сектори и чинители во руралните области, врз основа на </w:t>
      </w:r>
      <w:r w:rsidR="00B43F6B" w:rsidRPr="00B43F6B">
        <w:rPr>
          <w:rFonts w:ascii="Calibri" w:hAnsi="Calibri"/>
          <w:lang w:val="mk-MK"/>
        </w:rPr>
        <w:t>принципите</w:t>
      </w:r>
      <w:r w:rsidRPr="00B43F6B">
        <w:rPr>
          <w:rFonts w:ascii="Calibri" w:hAnsi="Calibri"/>
          <w:lang w:val="mk-MK"/>
        </w:rPr>
        <w:t xml:space="preserve"> на ЛЕАДЕР и концептите на Локален развој воден од заедницата. </w:t>
      </w:r>
    </w:p>
    <w:p w:rsidR="00AF4E1E" w:rsidRPr="00B43F6B" w:rsidRDefault="00554FC0" w:rsidP="0005048C">
      <w:pPr>
        <w:pStyle w:val="Heading1"/>
        <w:numPr>
          <w:ilvl w:val="0"/>
          <w:numId w:val="12"/>
        </w:numPr>
        <w:spacing w:before="240" w:after="240"/>
        <w:ind w:left="360"/>
        <w:rPr>
          <w:sz w:val="24"/>
          <w:szCs w:val="24"/>
          <w:lang w:val="mk-MK"/>
        </w:rPr>
      </w:pPr>
      <w:bookmarkStart w:id="3" w:name="_Toc498020883"/>
      <w:r w:rsidRPr="00B43F6B">
        <w:rPr>
          <w:sz w:val="24"/>
          <w:szCs w:val="24"/>
          <w:lang w:val="mk-MK"/>
        </w:rPr>
        <w:t>Грантова програма за изградба на капацитетите и застапување во рамките на граѓанското општество</w:t>
      </w:r>
      <w:bookmarkEnd w:id="3"/>
      <w:r w:rsidRPr="00B43F6B">
        <w:rPr>
          <w:sz w:val="24"/>
          <w:szCs w:val="24"/>
          <w:lang w:val="mk-MK"/>
        </w:rPr>
        <w:t xml:space="preserve"> </w:t>
      </w:r>
    </w:p>
    <w:p w:rsidR="008B702A" w:rsidRPr="00B43F6B" w:rsidRDefault="008B702A" w:rsidP="00F15330">
      <w:pPr>
        <w:pStyle w:val="ListParagraph"/>
        <w:keepNext/>
        <w:keepLines/>
        <w:numPr>
          <w:ilvl w:val="0"/>
          <w:numId w:val="14"/>
        </w:numPr>
        <w:spacing w:before="480"/>
        <w:contextualSpacing w:val="0"/>
        <w:outlineLvl w:val="0"/>
        <w:rPr>
          <w:rFonts w:asciiTheme="majorHAnsi" w:eastAsiaTheme="majorEastAsia" w:hAnsiTheme="majorHAnsi" w:cstheme="majorBidi"/>
          <w:b/>
          <w:bCs/>
          <w:vanish/>
          <w:color w:val="345A8A" w:themeColor="accent1" w:themeShade="B5"/>
          <w:sz w:val="32"/>
          <w:szCs w:val="32"/>
          <w:lang w:val="mk-MK"/>
        </w:rPr>
      </w:pPr>
      <w:bookmarkStart w:id="4" w:name="_Toc497186212"/>
      <w:bookmarkStart w:id="5" w:name="_Toc498020884"/>
      <w:bookmarkEnd w:id="4"/>
      <w:bookmarkEnd w:id="5"/>
    </w:p>
    <w:p w:rsidR="008B702A" w:rsidRPr="00B43F6B" w:rsidRDefault="008B702A" w:rsidP="00F15330">
      <w:pPr>
        <w:pStyle w:val="ListParagraph"/>
        <w:keepNext/>
        <w:keepLines/>
        <w:numPr>
          <w:ilvl w:val="0"/>
          <w:numId w:val="14"/>
        </w:numPr>
        <w:spacing w:before="480"/>
        <w:contextualSpacing w:val="0"/>
        <w:outlineLvl w:val="0"/>
        <w:rPr>
          <w:rFonts w:asciiTheme="majorHAnsi" w:eastAsiaTheme="majorEastAsia" w:hAnsiTheme="majorHAnsi" w:cstheme="majorBidi"/>
          <w:b/>
          <w:bCs/>
          <w:vanish/>
          <w:color w:val="345A8A" w:themeColor="accent1" w:themeShade="B5"/>
          <w:sz w:val="32"/>
          <w:szCs w:val="32"/>
          <w:lang w:val="mk-MK"/>
        </w:rPr>
      </w:pPr>
      <w:bookmarkStart w:id="6" w:name="_Toc497186213"/>
      <w:bookmarkStart w:id="7" w:name="_Toc498020885"/>
      <w:bookmarkEnd w:id="6"/>
      <w:bookmarkEnd w:id="7"/>
    </w:p>
    <w:p w:rsidR="00DB06DA" w:rsidRPr="00B43F6B" w:rsidRDefault="00554FC0" w:rsidP="008B702A">
      <w:pPr>
        <w:pStyle w:val="Heading2"/>
        <w:spacing w:before="240" w:after="240"/>
        <w:ind w:left="936"/>
        <w:rPr>
          <w:color w:val="365F91" w:themeColor="accent1" w:themeShade="BF"/>
          <w:lang w:val="mk-MK"/>
        </w:rPr>
      </w:pPr>
      <w:bookmarkStart w:id="8" w:name="_Toc498020886"/>
      <w:r w:rsidRPr="00B43F6B">
        <w:rPr>
          <w:color w:val="365F91" w:themeColor="accent1" w:themeShade="BF"/>
          <w:lang w:val="mk-MK"/>
        </w:rPr>
        <w:t>Цели и приоритети на програмата</w:t>
      </w:r>
      <w:bookmarkEnd w:id="8"/>
      <w:r w:rsidRPr="00B43F6B">
        <w:rPr>
          <w:color w:val="365F91" w:themeColor="accent1" w:themeShade="BF"/>
          <w:lang w:val="mk-MK"/>
        </w:rPr>
        <w:t xml:space="preserve"> </w:t>
      </w:r>
    </w:p>
    <w:p w:rsidR="006448CB" w:rsidRPr="00B43F6B" w:rsidRDefault="006448CB" w:rsidP="00866555">
      <w:pPr>
        <w:spacing w:after="120"/>
        <w:jc w:val="both"/>
        <w:rPr>
          <w:rFonts w:asciiTheme="majorHAnsi" w:hAnsiTheme="majorHAnsi" w:cstheme="majorHAnsi"/>
          <w:lang w:val="mk-MK"/>
        </w:rPr>
      </w:pPr>
      <w:r w:rsidRPr="00B43F6B">
        <w:rPr>
          <w:rFonts w:asciiTheme="majorHAnsi" w:hAnsiTheme="majorHAnsi" w:cstheme="majorHAnsi"/>
          <w:lang w:val="mk-MK"/>
        </w:rPr>
        <w:t xml:space="preserve">Програмата за цел има да стимулира соработка помеѓу националните власти и </w:t>
      </w:r>
      <w:r w:rsidR="006A4C96" w:rsidRPr="00B43F6B">
        <w:rPr>
          <w:rFonts w:asciiTheme="majorHAnsi" w:hAnsiTheme="majorHAnsi" w:cstheme="majorHAnsi"/>
          <w:lang w:val="mk-MK"/>
        </w:rPr>
        <w:t xml:space="preserve">граѓанското општество да се воспостават мерките ЛЕАДЕР на национално ниво или во ИПАРД II, како и да ги поддржи постојните ЛАГ иницијативи и грас рут организациите активни во областа на руралниот развој. </w:t>
      </w:r>
    </w:p>
    <w:p w:rsidR="00B15330" w:rsidRPr="00B43F6B" w:rsidRDefault="006A4C96" w:rsidP="00866555">
      <w:pPr>
        <w:spacing w:after="120"/>
        <w:jc w:val="both"/>
        <w:rPr>
          <w:rFonts w:asciiTheme="majorHAnsi" w:hAnsiTheme="majorHAnsi" w:cstheme="majorHAnsi"/>
          <w:lang w:val="mk-MK"/>
        </w:rPr>
      </w:pPr>
      <w:r w:rsidRPr="00B43F6B">
        <w:rPr>
          <w:rFonts w:asciiTheme="majorHAnsi" w:hAnsiTheme="majorHAnsi" w:cstheme="majorHAnsi"/>
          <w:lang w:val="mk-MK"/>
        </w:rPr>
        <w:t xml:space="preserve">Активностите во рамките на оваа Програма се насочени кон следново: </w:t>
      </w:r>
    </w:p>
    <w:p w:rsidR="000B3FF5" w:rsidRPr="00B43F6B" w:rsidRDefault="000B3FF5" w:rsidP="00FB71F8">
      <w:pPr>
        <w:pStyle w:val="ListParagraph"/>
        <w:numPr>
          <w:ilvl w:val="0"/>
          <w:numId w:val="17"/>
        </w:numPr>
        <w:spacing w:after="120"/>
        <w:jc w:val="both"/>
        <w:rPr>
          <w:rFonts w:asciiTheme="majorHAnsi" w:hAnsiTheme="majorHAnsi" w:cstheme="majorHAnsi"/>
          <w:lang w:val="mk-MK"/>
        </w:rPr>
      </w:pPr>
      <w:r w:rsidRPr="00B43F6B">
        <w:rPr>
          <w:rFonts w:asciiTheme="majorHAnsi" w:hAnsiTheme="majorHAnsi" w:cstheme="majorHAnsi"/>
          <w:lang w:val="mk-MK"/>
        </w:rPr>
        <w:t xml:space="preserve">Подобрување на националниот дијалог за ЛЕАДЕР и за Локалниот развој воден од заедницата CLLD со националните органи и претставниците на граѓанското општество; </w:t>
      </w:r>
    </w:p>
    <w:p w:rsidR="000B3FF5" w:rsidRPr="00B43F6B" w:rsidRDefault="000B3FF5" w:rsidP="00FB71F8">
      <w:pPr>
        <w:pStyle w:val="ListParagraph"/>
        <w:numPr>
          <w:ilvl w:val="0"/>
          <w:numId w:val="17"/>
        </w:numPr>
        <w:spacing w:after="120"/>
        <w:jc w:val="both"/>
        <w:rPr>
          <w:rFonts w:asciiTheme="majorHAnsi" w:hAnsiTheme="majorHAnsi" w:cstheme="majorHAnsi"/>
          <w:lang w:val="mk-MK"/>
        </w:rPr>
      </w:pPr>
      <w:r w:rsidRPr="00B43F6B">
        <w:rPr>
          <w:rFonts w:asciiTheme="majorHAnsi" w:hAnsiTheme="majorHAnsi" w:cstheme="majorHAnsi"/>
          <w:lang w:val="mk-MK"/>
        </w:rPr>
        <w:t xml:space="preserve">Подобрување на локалниот дијалог за ЛЕАДЕР и </w:t>
      </w:r>
      <w:r w:rsidRPr="00B43F6B">
        <w:rPr>
          <w:rFonts w:asciiTheme="majorHAnsi" w:hAnsiTheme="majorHAnsi" w:cstheme="majorHAnsi"/>
          <w:b/>
          <w:lang w:val="mk-MK"/>
        </w:rPr>
        <w:t>Локален развој воден од заедницата</w:t>
      </w:r>
      <w:r w:rsidRPr="00B43F6B">
        <w:rPr>
          <w:rFonts w:asciiTheme="majorHAnsi" w:hAnsiTheme="majorHAnsi" w:cstheme="majorHAnsi"/>
          <w:lang w:val="mk-MK"/>
        </w:rPr>
        <w:t xml:space="preserve"> (CLLD) помеѓу националните органи, локалните власти и граѓанското општество, со цел да се </w:t>
      </w:r>
      <w:r w:rsidR="00B43F6B" w:rsidRPr="00B43F6B">
        <w:rPr>
          <w:rFonts w:asciiTheme="majorHAnsi" w:hAnsiTheme="majorHAnsi" w:cstheme="majorHAnsi"/>
          <w:lang w:val="mk-MK"/>
        </w:rPr>
        <w:t>промовира</w:t>
      </w:r>
      <w:r w:rsidRPr="00B43F6B">
        <w:rPr>
          <w:rFonts w:asciiTheme="majorHAnsi" w:hAnsiTheme="majorHAnsi" w:cstheme="majorHAnsi"/>
          <w:lang w:val="mk-MK"/>
        </w:rPr>
        <w:t xml:space="preserve"> разбирање за ЛЕАДЕР и за Локалниот развој воден од заедницата во локалните заедници во земјите од Западен Балкан и Турција; </w:t>
      </w:r>
    </w:p>
    <w:p w:rsidR="000B3FF5" w:rsidRPr="00B43F6B" w:rsidRDefault="00B43F6B" w:rsidP="00FB71F8">
      <w:pPr>
        <w:pStyle w:val="ListParagraph"/>
        <w:numPr>
          <w:ilvl w:val="0"/>
          <w:numId w:val="17"/>
        </w:numPr>
        <w:spacing w:after="120"/>
        <w:jc w:val="both"/>
        <w:rPr>
          <w:rFonts w:asciiTheme="majorHAnsi" w:hAnsiTheme="majorHAnsi" w:cstheme="majorHAnsi"/>
          <w:lang w:val="mk-MK"/>
        </w:rPr>
      </w:pPr>
      <w:r>
        <w:rPr>
          <w:rFonts w:asciiTheme="majorHAnsi" w:hAnsiTheme="majorHAnsi" w:cstheme="majorHAnsi"/>
          <w:lang w:val="mk-MK"/>
        </w:rPr>
        <w:t>Поддршка за локалните и под</w:t>
      </w:r>
      <w:r w:rsidR="000B3FF5" w:rsidRPr="00B43F6B">
        <w:rPr>
          <w:rFonts w:asciiTheme="majorHAnsi" w:hAnsiTheme="majorHAnsi" w:cstheme="majorHAnsi"/>
          <w:lang w:val="mk-MK"/>
        </w:rPr>
        <w:t xml:space="preserve">регионалните иницијативи за создавање Локални акциски групи или локални партнерства. </w:t>
      </w:r>
    </w:p>
    <w:p w:rsidR="004124AC" w:rsidRPr="00B43F6B" w:rsidRDefault="004124AC" w:rsidP="00866555">
      <w:pPr>
        <w:spacing w:after="120"/>
        <w:jc w:val="both"/>
        <w:rPr>
          <w:rFonts w:asciiTheme="majorHAnsi" w:hAnsiTheme="majorHAnsi" w:cstheme="majorHAnsi"/>
          <w:lang w:val="mk-MK"/>
        </w:rPr>
      </w:pPr>
      <w:r w:rsidRPr="00B43F6B">
        <w:rPr>
          <w:rFonts w:asciiTheme="majorHAnsi" w:hAnsiTheme="majorHAnsi" w:cstheme="majorHAnsi"/>
          <w:lang w:val="mk-MK"/>
        </w:rPr>
        <w:t xml:space="preserve">Грантовата програма за </w:t>
      </w:r>
      <w:r w:rsidRPr="00B43F6B">
        <w:rPr>
          <w:rFonts w:asciiTheme="majorHAnsi" w:hAnsiTheme="majorHAnsi"/>
          <w:lang w:val="mk-MK"/>
        </w:rPr>
        <w:t xml:space="preserve">изградба на капацитетите и застапување во рамките на граѓанското општество е дизајнирана да ги зајакне </w:t>
      </w:r>
      <w:r w:rsidR="00B43F6B" w:rsidRPr="00B43F6B">
        <w:rPr>
          <w:rFonts w:asciiTheme="majorHAnsi" w:hAnsiTheme="majorHAnsi"/>
          <w:lang w:val="mk-MK"/>
        </w:rPr>
        <w:t>капацитетите</w:t>
      </w:r>
      <w:r w:rsidRPr="00B43F6B">
        <w:rPr>
          <w:rFonts w:asciiTheme="majorHAnsi" w:hAnsiTheme="majorHAnsi"/>
          <w:lang w:val="mk-MK"/>
        </w:rPr>
        <w:t xml:space="preserve"> на избрани организации активно да се ангажираат на полето на одржливиот рурален развој. Тоа ќе се оствари преку обезбедување поддршка во изградбата на капацитетите и  можностите за практично спроведување на стекнатото знаење врз ЛЕАДЕР и Локалниот развој воден од заедницата. </w:t>
      </w:r>
    </w:p>
    <w:p w:rsidR="00B15330" w:rsidRPr="00B43F6B" w:rsidRDefault="004124AC" w:rsidP="00866555">
      <w:pPr>
        <w:spacing w:after="120"/>
        <w:jc w:val="both"/>
        <w:rPr>
          <w:rFonts w:asciiTheme="majorHAnsi" w:hAnsiTheme="majorHAnsi" w:cstheme="majorHAnsi"/>
          <w:lang w:val="mk-MK"/>
        </w:rPr>
      </w:pPr>
      <w:r w:rsidRPr="00B43F6B">
        <w:rPr>
          <w:rFonts w:asciiTheme="majorHAnsi" w:hAnsiTheme="majorHAnsi" w:cstheme="majorHAnsi"/>
          <w:lang w:val="mk-MK"/>
        </w:rPr>
        <w:lastRenderedPageBreak/>
        <w:t xml:space="preserve">Национално ќе се организираат настани за дијалог и </w:t>
      </w:r>
      <w:r w:rsidRPr="00B43F6B">
        <w:rPr>
          <w:rFonts w:asciiTheme="majorHAnsi" w:hAnsiTheme="majorHAnsi" w:cstheme="majorHAnsi"/>
          <w:b/>
          <w:lang w:val="mk-MK"/>
        </w:rPr>
        <w:t>промоција и поддршка за концептот на Локален развој воден од заедницата и тоа по два информативни дена во секоја земја</w:t>
      </w:r>
      <w:r w:rsidRPr="00B43F6B">
        <w:rPr>
          <w:rFonts w:asciiTheme="majorHAnsi" w:hAnsiTheme="majorHAnsi" w:cstheme="majorHAnsi"/>
          <w:lang w:val="mk-MK"/>
        </w:rPr>
        <w:t xml:space="preserve">, со цел да се дистрибуира знаењето, а во исто време да се олеснува размената на информации и најдобри пракси </w:t>
      </w:r>
      <w:r w:rsidR="0042072A" w:rsidRPr="00B43F6B">
        <w:rPr>
          <w:rFonts w:asciiTheme="majorHAnsi" w:hAnsiTheme="majorHAnsi" w:cstheme="majorHAnsi"/>
          <w:lang w:val="mk-MK"/>
        </w:rPr>
        <w:t xml:space="preserve">помеѓу проектните партнери и организациите </w:t>
      </w:r>
      <w:r w:rsidR="00B43F6B" w:rsidRPr="00B43F6B">
        <w:rPr>
          <w:rFonts w:asciiTheme="majorHAnsi" w:hAnsiTheme="majorHAnsi" w:cstheme="majorHAnsi"/>
          <w:lang w:val="mk-MK"/>
        </w:rPr>
        <w:t>кориснички</w:t>
      </w:r>
      <w:r w:rsidR="0042072A" w:rsidRPr="00B43F6B">
        <w:rPr>
          <w:rFonts w:asciiTheme="majorHAnsi" w:hAnsiTheme="majorHAnsi" w:cstheme="majorHAnsi"/>
          <w:lang w:val="mk-MK"/>
        </w:rPr>
        <w:t xml:space="preserve">. Организациите кориснички ќе го пренесат своите стекнати знаења и експертиза на колегите/локалните организации од граѓанското општество. </w:t>
      </w:r>
    </w:p>
    <w:p w:rsidR="00F24D27" w:rsidRPr="00B43F6B" w:rsidRDefault="0042072A" w:rsidP="008B702A">
      <w:pPr>
        <w:pStyle w:val="Heading2"/>
        <w:spacing w:before="240" w:after="240"/>
        <w:ind w:left="936"/>
        <w:rPr>
          <w:color w:val="365F91" w:themeColor="accent1" w:themeShade="BF"/>
          <w:lang w:val="mk-MK"/>
        </w:rPr>
      </w:pPr>
      <w:bookmarkStart w:id="9" w:name="_Toc498020887"/>
      <w:r w:rsidRPr="00B43F6B">
        <w:rPr>
          <w:color w:val="365F91" w:themeColor="accent1" w:themeShade="BF"/>
          <w:lang w:val="mk-MK"/>
        </w:rPr>
        <w:t xml:space="preserve">Проектни </w:t>
      </w:r>
      <w:r w:rsidR="00D350E4" w:rsidRPr="00B43F6B">
        <w:rPr>
          <w:color w:val="365F91" w:themeColor="accent1" w:themeShade="BF"/>
          <w:lang w:val="mk-MK"/>
        </w:rPr>
        <w:t>показатели</w:t>
      </w:r>
      <w:bookmarkEnd w:id="9"/>
      <w:r w:rsidRPr="00B43F6B">
        <w:rPr>
          <w:color w:val="365F91" w:themeColor="accent1" w:themeShade="BF"/>
          <w:lang w:val="mk-MK"/>
        </w:rPr>
        <w:t xml:space="preserve"> </w:t>
      </w:r>
    </w:p>
    <w:p w:rsidR="00D350E4" w:rsidRPr="00B43F6B" w:rsidRDefault="00D350E4" w:rsidP="00866555">
      <w:pPr>
        <w:spacing w:after="120"/>
        <w:jc w:val="both"/>
        <w:rPr>
          <w:rFonts w:asciiTheme="majorHAnsi" w:hAnsiTheme="majorHAnsi"/>
          <w:lang w:val="mk-MK"/>
        </w:rPr>
      </w:pPr>
      <w:r w:rsidRPr="00B43F6B">
        <w:rPr>
          <w:rFonts w:asciiTheme="majorHAnsi" w:hAnsiTheme="majorHAnsi" w:cstheme="majorHAnsi"/>
          <w:lang w:val="mk-MK"/>
        </w:rPr>
        <w:t xml:space="preserve">Грантовата програма за </w:t>
      </w:r>
      <w:r w:rsidRPr="00B43F6B">
        <w:rPr>
          <w:rFonts w:asciiTheme="majorHAnsi" w:hAnsiTheme="majorHAnsi"/>
          <w:lang w:val="mk-MK"/>
        </w:rPr>
        <w:t xml:space="preserve">изградба на капацитетите и застапување во рамките на граѓанското општество има за цел да ги оствари следните проектни показатели. </w:t>
      </w:r>
      <w:r w:rsidRPr="00B43F6B">
        <w:rPr>
          <w:rFonts w:asciiTheme="majorHAnsi" w:hAnsiTheme="majorHAnsi"/>
          <w:b/>
          <w:lang w:val="mk-MK"/>
        </w:rPr>
        <w:t xml:space="preserve">Потенцијалните </w:t>
      </w:r>
      <w:r w:rsidR="00B43F6B">
        <w:rPr>
          <w:rFonts w:asciiTheme="majorHAnsi" w:hAnsiTheme="majorHAnsi"/>
          <w:b/>
          <w:lang w:val="mk-MK"/>
        </w:rPr>
        <w:t>апликанти</w:t>
      </w:r>
      <w:r w:rsidRPr="00B43F6B">
        <w:rPr>
          <w:rFonts w:asciiTheme="majorHAnsi" w:hAnsiTheme="majorHAnsi"/>
          <w:b/>
          <w:lang w:val="mk-MK"/>
        </w:rPr>
        <w:t xml:space="preserve"> треба да образложат како нивните проектни цели се </w:t>
      </w:r>
      <w:r w:rsidR="00850F0D" w:rsidRPr="00B43F6B">
        <w:rPr>
          <w:rFonts w:asciiTheme="majorHAnsi" w:hAnsiTheme="majorHAnsi"/>
          <w:b/>
          <w:lang w:val="mk-MK"/>
        </w:rPr>
        <w:t>преклопуваат со овие показатели</w:t>
      </w:r>
      <w:r w:rsidR="00850F0D" w:rsidRPr="00B43F6B">
        <w:rPr>
          <w:rFonts w:asciiTheme="majorHAnsi" w:hAnsiTheme="majorHAnsi"/>
          <w:lang w:val="mk-MK"/>
        </w:rPr>
        <w:t xml:space="preserve">. </w:t>
      </w:r>
    </w:p>
    <w:p w:rsidR="00797203" w:rsidRPr="00B43F6B" w:rsidRDefault="00850F0D" w:rsidP="00797203">
      <w:pPr>
        <w:pStyle w:val="ListParagraph"/>
        <w:numPr>
          <w:ilvl w:val="0"/>
          <w:numId w:val="17"/>
        </w:numPr>
        <w:spacing w:after="120"/>
        <w:jc w:val="both"/>
        <w:rPr>
          <w:rFonts w:asciiTheme="majorHAnsi" w:hAnsiTheme="majorHAnsi" w:cstheme="majorHAnsi"/>
          <w:lang w:val="mk-MK"/>
        </w:rPr>
      </w:pPr>
      <w:r w:rsidRPr="00B43F6B">
        <w:rPr>
          <w:rFonts w:asciiTheme="majorHAnsi" w:hAnsiTheme="majorHAnsi" w:cstheme="majorHAnsi"/>
          <w:lang w:val="mk-MK"/>
        </w:rPr>
        <w:t xml:space="preserve">Број на Локални акциски групи и грас рут организации кои добиваат поддршка од националните мрежи; </w:t>
      </w:r>
    </w:p>
    <w:p w:rsidR="00850F0D" w:rsidRPr="00B43F6B" w:rsidRDefault="00850F0D" w:rsidP="00797203">
      <w:pPr>
        <w:pStyle w:val="ListParagraph"/>
        <w:numPr>
          <w:ilvl w:val="0"/>
          <w:numId w:val="17"/>
        </w:numPr>
        <w:spacing w:after="120"/>
        <w:jc w:val="both"/>
        <w:rPr>
          <w:rFonts w:asciiTheme="majorHAnsi" w:hAnsiTheme="majorHAnsi" w:cstheme="majorHAnsi"/>
          <w:lang w:val="mk-MK"/>
        </w:rPr>
      </w:pPr>
      <w:r w:rsidRPr="00B43F6B">
        <w:rPr>
          <w:rFonts w:asciiTheme="majorHAnsi" w:hAnsiTheme="majorHAnsi" w:cstheme="majorHAnsi"/>
          <w:lang w:val="mk-MK"/>
        </w:rPr>
        <w:t xml:space="preserve">Број на заеднички активности на националните рурални мрежи, членовите и организациите од </w:t>
      </w:r>
      <w:r w:rsidRPr="00B43F6B">
        <w:rPr>
          <w:rFonts w:asciiTheme="majorHAnsi" w:hAnsiTheme="majorHAnsi"/>
          <w:lang w:val="mk-MK"/>
        </w:rPr>
        <w:t xml:space="preserve">граѓанското општество со медиумите; </w:t>
      </w:r>
    </w:p>
    <w:p w:rsidR="00850F0D" w:rsidRPr="00B43F6B" w:rsidRDefault="00850F0D" w:rsidP="00797203">
      <w:pPr>
        <w:pStyle w:val="ListParagraph"/>
        <w:numPr>
          <w:ilvl w:val="0"/>
          <w:numId w:val="17"/>
        </w:numPr>
        <w:spacing w:after="120"/>
        <w:jc w:val="both"/>
        <w:rPr>
          <w:rFonts w:asciiTheme="majorHAnsi" w:hAnsiTheme="majorHAnsi" w:cstheme="majorHAnsi"/>
          <w:lang w:val="mk-MK"/>
        </w:rPr>
      </w:pPr>
      <w:r w:rsidRPr="00B43F6B">
        <w:rPr>
          <w:rFonts w:asciiTheme="majorHAnsi" w:hAnsiTheme="majorHAnsi" w:cstheme="majorHAnsi"/>
          <w:lang w:val="mk-MK"/>
        </w:rPr>
        <w:t xml:space="preserve">Број на </w:t>
      </w:r>
      <w:r w:rsidR="00B43F6B" w:rsidRPr="00B43F6B">
        <w:rPr>
          <w:rFonts w:asciiTheme="majorHAnsi" w:hAnsiTheme="majorHAnsi" w:cstheme="majorHAnsi"/>
          <w:lang w:val="mk-MK"/>
        </w:rPr>
        <w:t>претставници</w:t>
      </w:r>
      <w:r w:rsidRPr="00B43F6B">
        <w:rPr>
          <w:rFonts w:asciiTheme="majorHAnsi" w:hAnsiTheme="majorHAnsi" w:cstheme="majorHAnsi"/>
          <w:lang w:val="mk-MK"/>
        </w:rPr>
        <w:t xml:space="preserve"> на јавните органи, граѓанското општество и општата јавност информирани за пристапот ЛЕАДЕР и Локалниот развој воден од заедницата во текот на информативните сесии и информативните пакети; </w:t>
      </w:r>
    </w:p>
    <w:p w:rsidR="00797203" w:rsidRPr="00B43F6B" w:rsidRDefault="00850F0D" w:rsidP="00797203">
      <w:pPr>
        <w:pStyle w:val="ListParagraph"/>
        <w:numPr>
          <w:ilvl w:val="0"/>
          <w:numId w:val="17"/>
        </w:numPr>
        <w:spacing w:after="120"/>
        <w:jc w:val="both"/>
        <w:rPr>
          <w:rFonts w:asciiTheme="majorHAnsi" w:hAnsiTheme="majorHAnsi" w:cstheme="majorHAnsi"/>
          <w:lang w:val="mk-MK"/>
        </w:rPr>
      </w:pPr>
      <w:r w:rsidRPr="00B43F6B">
        <w:rPr>
          <w:rFonts w:asciiTheme="majorHAnsi" w:hAnsiTheme="majorHAnsi" w:cstheme="majorHAnsi"/>
          <w:lang w:val="mk-MK"/>
        </w:rPr>
        <w:t xml:space="preserve">Број на обучени за внатрешно владеење, финансиско и проектно управување, долгорочно планирање и финансирање на диверзификација во текот на седумте национални семинари; </w:t>
      </w:r>
    </w:p>
    <w:p w:rsidR="00377F06" w:rsidRPr="00B43F6B" w:rsidRDefault="00377F06" w:rsidP="00797203">
      <w:pPr>
        <w:pStyle w:val="ListParagraph"/>
        <w:numPr>
          <w:ilvl w:val="0"/>
          <w:numId w:val="17"/>
        </w:numPr>
        <w:spacing w:after="120"/>
        <w:jc w:val="both"/>
        <w:rPr>
          <w:rFonts w:asciiTheme="majorHAnsi" w:hAnsiTheme="majorHAnsi" w:cstheme="majorHAnsi"/>
          <w:lang w:val="mk-MK"/>
        </w:rPr>
      </w:pPr>
      <w:r w:rsidRPr="00B43F6B">
        <w:rPr>
          <w:rFonts w:asciiTheme="majorHAnsi" w:hAnsiTheme="majorHAnsi" w:cstheme="majorHAnsi"/>
          <w:lang w:val="mk-MK"/>
        </w:rPr>
        <w:t xml:space="preserve">Број на учесници во развој на стратешки долгорочни организациски планови и </w:t>
      </w:r>
      <w:r w:rsidR="00AE7C10" w:rsidRPr="00B43F6B">
        <w:rPr>
          <w:rFonts w:asciiTheme="majorHAnsi" w:hAnsiTheme="majorHAnsi" w:cstheme="majorHAnsi"/>
          <w:lang w:val="mk-MK"/>
        </w:rPr>
        <w:t xml:space="preserve">планови за собирање средства на националните формални и неформални мрежи за рурален развој.  </w:t>
      </w:r>
    </w:p>
    <w:p w:rsidR="00AF4E1E" w:rsidRPr="00B43F6B" w:rsidRDefault="00AE7C10" w:rsidP="008B702A">
      <w:pPr>
        <w:pStyle w:val="Heading2"/>
        <w:spacing w:before="240" w:after="240"/>
        <w:ind w:left="936"/>
        <w:rPr>
          <w:color w:val="365F91" w:themeColor="accent1" w:themeShade="BF"/>
          <w:lang w:val="mk-MK"/>
        </w:rPr>
      </w:pPr>
      <w:bookmarkStart w:id="10" w:name="_Toc498020888"/>
      <w:r w:rsidRPr="00B43F6B">
        <w:rPr>
          <w:color w:val="365F91" w:themeColor="accent1" w:themeShade="BF"/>
          <w:lang w:val="mk-MK"/>
        </w:rPr>
        <w:t>Генерален преглед</w:t>
      </w:r>
      <w:bookmarkEnd w:id="10"/>
      <w:r w:rsidRPr="00B43F6B">
        <w:rPr>
          <w:color w:val="365F91" w:themeColor="accent1" w:themeShade="BF"/>
          <w:lang w:val="mk-MK"/>
        </w:rPr>
        <w:t xml:space="preserve"> </w:t>
      </w:r>
    </w:p>
    <w:p w:rsidR="00AE7C10" w:rsidRPr="00B43F6B" w:rsidRDefault="00AE7C10" w:rsidP="00CA02FD">
      <w:pPr>
        <w:spacing w:after="120"/>
        <w:jc w:val="both"/>
        <w:rPr>
          <w:rFonts w:asciiTheme="majorHAnsi" w:hAnsiTheme="majorHAnsi"/>
          <w:lang w:val="mk-MK"/>
        </w:rPr>
      </w:pPr>
      <w:r w:rsidRPr="00B43F6B">
        <w:rPr>
          <w:rFonts w:asciiTheme="majorHAnsi" w:hAnsiTheme="majorHAnsi" w:cstheme="majorHAnsi"/>
          <w:lang w:val="mk-MK"/>
        </w:rPr>
        <w:t xml:space="preserve">Грантовата програма за </w:t>
      </w:r>
      <w:r w:rsidRPr="00B43F6B">
        <w:rPr>
          <w:rFonts w:asciiTheme="majorHAnsi" w:hAnsiTheme="majorHAnsi"/>
          <w:lang w:val="mk-MK"/>
        </w:rPr>
        <w:t xml:space="preserve">изградба на капацитетите и застапување во рамките на граѓанското општество ќе се доделува на седумте земји што учествуваат во Активните локални територии за економски развој на руралните области. </w:t>
      </w:r>
      <w:r w:rsidR="00AD31F7" w:rsidRPr="00B43F6B">
        <w:rPr>
          <w:rFonts w:asciiTheme="majorHAnsi" w:hAnsiTheme="majorHAnsi"/>
          <w:lang w:val="mk-MK"/>
        </w:rPr>
        <w:t xml:space="preserve">Квалификуваните организации мора да аплицираат во локални, национални и/или регионални партнерства. Секоја потенцијална организација доставува барања во земјата каде што официјално е регистрирана. Добитниците на грантови ќе бидат одговорни пред Националниот проектен координатор во земјата во која се регистрирани.  </w:t>
      </w:r>
    </w:p>
    <w:p w:rsidR="009C04CF" w:rsidRPr="00B43F6B" w:rsidRDefault="00AD31F7" w:rsidP="00CA02FD">
      <w:pPr>
        <w:spacing w:after="120"/>
        <w:jc w:val="both"/>
        <w:rPr>
          <w:rFonts w:ascii="Calibri" w:hAnsi="Calibri"/>
          <w:lang w:val="mk-MK"/>
        </w:rPr>
      </w:pPr>
      <w:r w:rsidRPr="00B43F6B">
        <w:rPr>
          <w:rFonts w:ascii="Calibri" w:hAnsi="Calibri"/>
          <w:lang w:val="mk-MK"/>
        </w:rPr>
        <w:t xml:space="preserve">Грантовите ќе се доделат на најмалку 14 организации вкупно, а оттаму секој </w:t>
      </w:r>
      <w:r w:rsidR="00B43F6B">
        <w:rPr>
          <w:rFonts w:ascii="Calibri" w:hAnsi="Calibri"/>
          <w:lang w:val="mk-MK"/>
        </w:rPr>
        <w:t>апликант</w:t>
      </w:r>
      <w:r w:rsidRPr="00B43F6B">
        <w:rPr>
          <w:rFonts w:ascii="Calibri" w:hAnsi="Calibri"/>
          <w:lang w:val="mk-MK"/>
        </w:rPr>
        <w:t xml:space="preserve"> ќе биде оценуван национални и меѓународно со нивните колеги во Албанија, Босна и Херцеговина, Косово</w:t>
      </w:r>
      <w:r w:rsidRPr="00B43F6B">
        <w:rPr>
          <w:rFonts w:ascii="Calibri" w:hAnsi="Calibri" w:cs="Arial"/>
          <w:lang w:val="mk-MK"/>
        </w:rPr>
        <w:t>*</w:t>
      </w:r>
      <w:r w:rsidRPr="00B43F6B">
        <w:rPr>
          <w:rFonts w:ascii="Calibri" w:hAnsi="Calibri"/>
          <w:lang w:val="mk-MK"/>
        </w:rPr>
        <w:t xml:space="preserve">, Македонија, Црна Гора, Србија и Турција. </w:t>
      </w:r>
      <w:r w:rsidRPr="00B43F6B">
        <w:rPr>
          <w:rFonts w:ascii="Calibri" w:hAnsi="Calibri"/>
          <w:b/>
          <w:lang w:val="mk-MK"/>
        </w:rPr>
        <w:t>Во секоја спомената земја ќе се доделат минимум два гранта</w:t>
      </w:r>
      <w:r w:rsidRPr="00B43F6B">
        <w:rPr>
          <w:rFonts w:ascii="Calibri" w:hAnsi="Calibri"/>
          <w:lang w:val="mk-MK"/>
        </w:rPr>
        <w:t xml:space="preserve">. </w:t>
      </w:r>
    </w:p>
    <w:p w:rsidR="000F011B" w:rsidRPr="00B43F6B" w:rsidRDefault="000F011B" w:rsidP="00866555">
      <w:pPr>
        <w:tabs>
          <w:tab w:val="left" w:pos="0"/>
        </w:tabs>
        <w:spacing w:after="120"/>
        <w:jc w:val="both"/>
        <w:rPr>
          <w:rFonts w:ascii="Calibri" w:hAnsi="Calibri" w:cs="Arial"/>
          <w:lang w:val="mk-MK"/>
        </w:rPr>
      </w:pPr>
    </w:p>
    <w:p w:rsidR="00DB06DA" w:rsidRPr="00B43F6B" w:rsidRDefault="00AD31F7" w:rsidP="008B702A">
      <w:pPr>
        <w:pStyle w:val="Heading2"/>
        <w:spacing w:before="240" w:after="240"/>
        <w:ind w:left="936"/>
        <w:rPr>
          <w:color w:val="365F91" w:themeColor="accent1" w:themeShade="BF"/>
          <w:lang w:val="mk-MK"/>
        </w:rPr>
      </w:pPr>
      <w:bookmarkStart w:id="11" w:name="_Toc498020889"/>
      <w:r w:rsidRPr="00B43F6B">
        <w:rPr>
          <w:color w:val="365F91" w:themeColor="accent1" w:themeShade="BF"/>
          <w:lang w:val="mk-MK"/>
        </w:rPr>
        <w:lastRenderedPageBreak/>
        <w:t>Подобност</w:t>
      </w:r>
      <w:bookmarkEnd w:id="11"/>
      <w:r w:rsidRPr="00B43F6B">
        <w:rPr>
          <w:color w:val="365F91" w:themeColor="accent1" w:themeShade="BF"/>
          <w:lang w:val="mk-MK"/>
        </w:rPr>
        <w:t xml:space="preserve"> </w:t>
      </w:r>
    </w:p>
    <w:p w:rsidR="00A319A8" w:rsidRPr="00B43F6B" w:rsidRDefault="00A319A8" w:rsidP="001158FF">
      <w:pPr>
        <w:tabs>
          <w:tab w:val="left" w:pos="0"/>
        </w:tabs>
        <w:spacing w:after="120"/>
        <w:jc w:val="both"/>
        <w:rPr>
          <w:rFonts w:ascii="Calibri" w:hAnsi="Calibri" w:cs="Arial"/>
          <w:lang w:val="mk-MK"/>
        </w:rPr>
      </w:pPr>
      <w:r w:rsidRPr="00B43F6B">
        <w:rPr>
          <w:rFonts w:ascii="Calibri" w:hAnsi="Calibri" w:cs="Arial"/>
          <w:lang w:val="mk-MK"/>
        </w:rPr>
        <w:t xml:space="preserve">Организациите регистрирани во следните седум земји ќе бидат подобни за кандидати за финансиска поддршка: </w:t>
      </w:r>
      <w:r w:rsidRPr="00B43F6B">
        <w:rPr>
          <w:rFonts w:ascii="Calibri" w:hAnsi="Calibri"/>
          <w:lang w:val="mk-MK"/>
        </w:rPr>
        <w:t>Албанија, Босна и Херцеговина, Косово</w:t>
      </w:r>
      <w:r w:rsidRPr="00B43F6B">
        <w:rPr>
          <w:rFonts w:ascii="Calibri" w:hAnsi="Calibri" w:cs="Arial"/>
          <w:lang w:val="mk-MK"/>
        </w:rPr>
        <w:t>*</w:t>
      </w:r>
      <w:r w:rsidRPr="00B43F6B">
        <w:rPr>
          <w:rFonts w:ascii="Calibri" w:hAnsi="Calibri"/>
          <w:lang w:val="mk-MK"/>
        </w:rPr>
        <w:t>, Македонија, Црна Гора, Србија и Турција.</w:t>
      </w:r>
    </w:p>
    <w:p w:rsidR="001158FF" w:rsidRPr="00B43F6B" w:rsidRDefault="00A319A8" w:rsidP="00E63C8F">
      <w:pPr>
        <w:pStyle w:val="ListParagraph"/>
        <w:numPr>
          <w:ilvl w:val="0"/>
          <w:numId w:val="5"/>
        </w:numPr>
        <w:tabs>
          <w:tab w:val="left" w:pos="0"/>
        </w:tabs>
        <w:spacing w:after="120"/>
        <w:contextualSpacing w:val="0"/>
        <w:jc w:val="both"/>
        <w:rPr>
          <w:rFonts w:asciiTheme="majorHAnsi" w:hAnsiTheme="majorHAnsi" w:cstheme="majorHAnsi"/>
          <w:lang w:val="mk-MK"/>
        </w:rPr>
      </w:pPr>
      <w:r w:rsidRPr="00B43F6B">
        <w:rPr>
          <w:rFonts w:asciiTheme="majorHAnsi" w:hAnsiTheme="majorHAnsi" w:cstheme="majorHAnsi"/>
          <w:lang w:val="mk-MK"/>
        </w:rPr>
        <w:t>Погодни организации можат да бидат следните организации од граѓанското општество</w:t>
      </w:r>
      <w:r w:rsidR="00372AE7" w:rsidRPr="00B43F6B">
        <w:rPr>
          <w:rFonts w:asciiTheme="majorHAnsi" w:hAnsiTheme="majorHAnsi" w:cstheme="majorHAnsi"/>
          <w:lang w:val="mk-MK"/>
        </w:rPr>
        <w:t>,</w:t>
      </w:r>
    </w:p>
    <w:p w:rsidR="001158FF" w:rsidRPr="00B43F6B" w:rsidRDefault="00A319A8" w:rsidP="00E63C8F">
      <w:pPr>
        <w:pStyle w:val="ListParagraph"/>
        <w:numPr>
          <w:ilvl w:val="0"/>
          <w:numId w:val="5"/>
        </w:numPr>
        <w:tabs>
          <w:tab w:val="left" w:pos="0"/>
        </w:tabs>
        <w:spacing w:after="120"/>
        <w:contextualSpacing w:val="0"/>
        <w:jc w:val="both"/>
        <w:rPr>
          <w:rFonts w:asciiTheme="majorHAnsi" w:hAnsiTheme="majorHAnsi" w:cstheme="majorHAnsi"/>
          <w:lang w:val="mk-MK"/>
        </w:rPr>
      </w:pPr>
      <w:r w:rsidRPr="00B43F6B">
        <w:rPr>
          <w:rFonts w:asciiTheme="majorHAnsi" w:hAnsiTheme="majorHAnsi" w:cstheme="majorHAnsi"/>
          <w:lang w:val="mk-MK"/>
        </w:rPr>
        <w:t>Правни лица</w:t>
      </w:r>
      <w:r w:rsidR="001158FF" w:rsidRPr="00B43F6B">
        <w:rPr>
          <w:rFonts w:asciiTheme="majorHAnsi" w:hAnsiTheme="majorHAnsi" w:cstheme="majorHAnsi"/>
          <w:lang w:val="mk-MK"/>
        </w:rPr>
        <w:t xml:space="preserve">, </w:t>
      </w:r>
    </w:p>
    <w:p w:rsidR="001158FF" w:rsidRPr="00B43F6B" w:rsidRDefault="00A319A8" w:rsidP="00E63C8F">
      <w:pPr>
        <w:pStyle w:val="ListParagraph"/>
        <w:numPr>
          <w:ilvl w:val="0"/>
          <w:numId w:val="5"/>
        </w:numPr>
        <w:tabs>
          <w:tab w:val="left" w:pos="0"/>
        </w:tabs>
        <w:spacing w:after="120"/>
        <w:contextualSpacing w:val="0"/>
        <w:jc w:val="both"/>
        <w:rPr>
          <w:rFonts w:asciiTheme="majorHAnsi" w:hAnsiTheme="majorHAnsi" w:cstheme="majorHAnsi"/>
          <w:lang w:val="mk-MK"/>
        </w:rPr>
      </w:pPr>
      <w:r w:rsidRPr="00B43F6B">
        <w:rPr>
          <w:rFonts w:asciiTheme="majorHAnsi" w:hAnsiTheme="majorHAnsi" w:cstheme="majorHAnsi"/>
          <w:lang w:val="mk-MK"/>
        </w:rPr>
        <w:t>Непрофитни организации</w:t>
      </w:r>
      <w:r w:rsidR="001158FF" w:rsidRPr="00B43F6B">
        <w:rPr>
          <w:rFonts w:asciiTheme="majorHAnsi" w:hAnsiTheme="majorHAnsi" w:cstheme="majorHAnsi"/>
          <w:lang w:val="mk-MK"/>
        </w:rPr>
        <w:t>,</w:t>
      </w:r>
    </w:p>
    <w:p w:rsidR="00674508" w:rsidRPr="00B43F6B" w:rsidRDefault="00A319A8" w:rsidP="00E63C8F">
      <w:pPr>
        <w:pStyle w:val="ListParagraph"/>
        <w:numPr>
          <w:ilvl w:val="0"/>
          <w:numId w:val="5"/>
        </w:numPr>
        <w:tabs>
          <w:tab w:val="left" w:pos="0"/>
        </w:tabs>
        <w:spacing w:after="120"/>
        <w:contextualSpacing w:val="0"/>
        <w:jc w:val="both"/>
        <w:rPr>
          <w:rFonts w:asciiTheme="majorHAnsi" w:hAnsiTheme="majorHAnsi" w:cstheme="majorHAnsi"/>
          <w:lang w:val="mk-MK"/>
        </w:rPr>
      </w:pPr>
      <w:r w:rsidRPr="00B43F6B">
        <w:rPr>
          <w:rFonts w:asciiTheme="majorHAnsi" w:hAnsiTheme="majorHAnsi" w:cstheme="majorHAnsi"/>
          <w:lang w:val="mk-MK"/>
        </w:rPr>
        <w:t xml:space="preserve">Организации од граѓанското општество или претставници на мрежа на организации од граѓанското општество што работат на една или повеќе тематски области од релевантност на овој Повик за поднесување понуди.   </w:t>
      </w:r>
    </w:p>
    <w:p w:rsidR="00782747" w:rsidRPr="00B43F6B" w:rsidRDefault="00B43F6B" w:rsidP="00866555">
      <w:pPr>
        <w:tabs>
          <w:tab w:val="left" w:pos="0"/>
        </w:tabs>
        <w:spacing w:after="120"/>
        <w:jc w:val="both"/>
        <w:rPr>
          <w:rFonts w:asciiTheme="majorHAnsi" w:hAnsiTheme="majorHAnsi" w:cstheme="majorHAnsi"/>
          <w:shd w:val="clear" w:color="auto" w:fill="FFFFFF"/>
          <w:lang w:val="mk-MK"/>
        </w:rPr>
      </w:pPr>
      <w:r>
        <w:rPr>
          <w:rFonts w:asciiTheme="majorHAnsi" w:hAnsiTheme="majorHAnsi" w:cstheme="majorHAnsi"/>
          <w:shd w:val="clear" w:color="auto" w:fill="FFFFFF"/>
          <w:lang w:val="mk-MK"/>
        </w:rPr>
        <w:t>Апликантите</w:t>
      </w:r>
      <w:r w:rsidR="00A319A8" w:rsidRPr="00B43F6B">
        <w:rPr>
          <w:rFonts w:asciiTheme="majorHAnsi" w:hAnsiTheme="majorHAnsi" w:cstheme="majorHAnsi"/>
          <w:shd w:val="clear" w:color="auto" w:fill="FFFFFF"/>
          <w:lang w:val="mk-MK"/>
        </w:rPr>
        <w:t xml:space="preserve"> треба:  </w:t>
      </w:r>
    </w:p>
    <w:p w:rsidR="00782747" w:rsidRPr="00B43F6B" w:rsidRDefault="00A319A8" w:rsidP="00866555">
      <w:pPr>
        <w:pStyle w:val="ListParagraph"/>
        <w:numPr>
          <w:ilvl w:val="0"/>
          <w:numId w:val="5"/>
        </w:numPr>
        <w:tabs>
          <w:tab w:val="left" w:pos="0"/>
        </w:tabs>
        <w:spacing w:after="120"/>
        <w:contextualSpacing w:val="0"/>
        <w:jc w:val="both"/>
        <w:rPr>
          <w:rFonts w:asciiTheme="majorHAnsi" w:hAnsiTheme="majorHAnsi" w:cstheme="majorHAnsi"/>
          <w:lang w:val="mk-MK"/>
        </w:rPr>
      </w:pPr>
      <w:r w:rsidRPr="00B43F6B">
        <w:rPr>
          <w:rFonts w:asciiTheme="majorHAnsi" w:hAnsiTheme="majorHAnsi" w:cstheme="majorHAnsi"/>
          <w:lang w:val="mk-MK"/>
        </w:rPr>
        <w:t xml:space="preserve">Да бидат активни, </w:t>
      </w:r>
      <w:r w:rsidR="00590627" w:rsidRPr="00B43F6B">
        <w:rPr>
          <w:rFonts w:asciiTheme="majorHAnsi" w:hAnsiTheme="majorHAnsi" w:cstheme="majorHAnsi"/>
          <w:lang w:val="mk-MK"/>
        </w:rPr>
        <w:t xml:space="preserve">верификувани од страна на стручно лице од националниот регистер, </w:t>
      </w:r>
    </w:p>
    <w:p w:rsidR="001158FF" w:rsidRPr="00B43F6B" w:rsidRDefault="00734A95" w:rsidP="00866555">
      <w:pPr>
        <w:pStyle w:val="ListParagraph"/>
        <w:numPr>
          <w:ilvl w:val="0"/>
          <w:numId w:val="5"/>
        </w:numPr>
        <w:tabs>
          <w:tab w:val="left" w:pos="0"/>
        </w:tabs>
        <w:spacing w:after="120"/>
        <w:contextualSpacing w:val="0"/>
        <w:jc w:val="both"/>
        <w:rPr>
          <w:rFonts w:asciiTheme="majorHAnsi" w:hAnsiTheme="majorHAnsi" w:cstheme="majorHAnsi"/>
          <w:lang w:val="mk-MK"/>
        </w:rPr>
      </w:pPr>
      <w:r w:rsidRPr="00B43F6B">
        <w:rPr>
          <w:rFonts w:asciiTheme="majorHAnsi" w:hAnsiTheme="majorHAnsi" w:cstheme="majorHAnsi"/>
          <w:lang w:val="mk-MK"/>
        </w:rPr>
        <w:t xml:space="preserve">Максималниот годишен буџет да им е еднаков или помал од 17.000 евра по </w:t>
      </w:r>
      <w:r>
        <w:rPr>
          <w:rFonts w:asciiTheme="majorHAnsi" w:hAnsiTheme="majorHAnsi" w:cstheme="majorHAnsi"/>
          <w:lang w:val="mk-MK"/>
        </w:rPr>
        <w:t xml:space="preserve">апликант </w:t>
      </w:r>
      <w:r w:rsidRPr="00B43F6B">
        <w:rPr>
          <w:rFonts w:asciiTheme="majorHAnsi" w:hAnsiTheme="majorHAnsi" w:cstheme="majorHAnsi"/>
          <w:lang w:val="mk-MK"/>
        </w:rPr>
        <w:t>и секој ко</w:t>
      </w:r>
      <w:r>
        <w:rPr>
          <w:rFonts w:asciiTheme="majorHAnsi" w:hAnsiTheme="majorHAnsi" w:cstheme="majorHAnsi"/>
          <w:lang w:val="mk-MK"/>
        </w:rPr>
        <w:t xml:space="preserve">апликант </w:t>
      </w:r>
      <w:r w:rsidRPr="00B43F6B">
        <w:rPr>
          <w:rFonts w:asciiTheme="majorHAnsi" w:hAnsiTheme="majorHAnsi" w:cstheme="majorHAnsi"/>
          <w:lang w:val="mk-MK"/>
        </w:rPr>
        <w:t xml:space="preserve">во партнерство, во последните две години, </w:t>
      </w:r>
    </w:p>
    <w:p w:rsidR="004A416B" w:rsidRPr="00B43F6B" w:rsidRDefault="004A416B" w:rsidP="001158FF">
      <w:pPr>
        <w:pStyle w:val="ListParagraph"/>
        <w:numPr>
          <w:ilvl w:val="0"/>
          <w:numId w:val="5"/>
        </w:numPr>
        <w:tabs>
          <w:tab w:val="left" w:pos="0"/>
        </w:tabs>
        <w:spacing w:after="120"/>
        <w:contextualSpacing w:val="0"/>
        <w:jc w:val="both"/>
        <w:rPr>
          <w:rFonts w:asciiTheme="majorHAnsi" w:hAnsiTheme="majorHAnsi" w:cstheme="majorHAnsi"/>
          <w:lang w:val="mk-MK"/>
        </w:rPr>
      </w:pPr>
      <w:r w:rsidRPr="00B43F6B">
        <w:rPr>
          <w:rFonts w:asciiTheme="majorHAnsi" w:hAnsiTheme="majorHAnsi" w:cstheme="majorHAnsi"/>
          <w:lang w:val="mk-MK"/>
        </w:rPr>
        <w:t xml:space="preserve">Да имаат главна област на работа во руралниот развој, со </w:t>
      </w:r>
      <w:r w:rsidR="003740B0" w:rsidRPr="00B43F6B">
        <w:rPr>
          <w:rFonts w:asciiTheme="majorHAnsi" w:hAnsiTheme="majorHAnsi" w:cstheme="majorHAnsi"/>
          <w:lang w:val="mk-MK"/>
        </w:rPr>
        <w:t xml:space="preserve">минато досие за </w:t>
      </w:r>
      <w:r w:rsidR="00734A95" w:rsidRPr="00B43F6B">
        <w:rPr>
          <w:rFonts w:asciiTheme="majorHAnsi" w:hAnsiTheme="majorHAnsi" w:cstheme="majorHAnsi"/>
          <w:lang w:val="mk-MK"/>
        </w:rPr>
        <w:t>одржлив</w:t>
      </w:r>
      <w:r w:rsidR="003740B0" w:rsidRPr="00B43F6B">
        <w:rPr>
          <w:rFonts w:asciiTheme="majorHAnsi" w:hAnsiTheme="majorHAnsi" w:cstheme="majorHAnsi"/>
          <w:lang w:val="mk-MK"/>
        </w:rPr>
        <w:t xml:space="preserve"> развој, и/или работење на една или повеќе тематски области на релевантност за овој Повик (докажано преку Статутот и листа и сублимат на претходните проекти и активности). </w:t>
      </w:r>
    </w:p>
    <w:p w:rsidR="00DB06DA" w:rsidRPr="00B43F6B" w:rsidRDefault="003740B0" w:rsidP="0008690C">
      <w:pPr>
        <w:pStyle w:val="Heading2"/>
        <w:numPr>
          <w:ilvl w:val="0"/>
          <w:numId w:val="0"/>
        </w:numPr>
        <w:spacing w:before="120" w:after="120"/>
        <w:ind w:left="576" w:hanging="576"/>
        <w:rPr>
          <w:color w:val="365F91" w:themeColor="accent1" w:themeShade="BF"/>
          <w:lang w:val="mk-MK"/>
        </w:rPr>
      </w:pPr>
      <w:bookmarkStart w:id="12" w:name="_Toc498020890"/>
      <w:r w:rsidRPr="00B43F6B">
        <w:rPr>
          <w:color w:val="365F91" w:themeColor="accent1" w:themeShade="BF"/>
          <w:lang w:val="mk-MK"/>
        </w:rPr>
        <w:t>Партнерства</w:t>
      </w:r>
      <w:bookmarkEnd w:id="12"/>
      <w:r w:rsidRPr="00B43F6B">
        <w:rPr>
          <w:color w:val="365F91" w:themeColor="accent1" w:themeShade="BF"/>
          <w:lang w:val="mk-MK"/>
        </w:rPr>
        <w:t xml:space="preserve"> </w:t>
      </w:r>
    </w:p>
    <w:p w:rsidR="00E21C49" w:rsidRPr="00B43F6B" w:rsidRDefault="00E21C49" w:rsidP="001F7557">
      <w:pPr>
        <w:jc w:val="both"/>
        <w:rPr>
          <w:rFonts w:ascii="Calibri" w:hAnsi="Calibri"/>
          <w:lang w:val="mk-MK"/>
        </w:rPr>
      </w:pPr>
      <w:r w:rsidRPr="00B43F6B">
        <w:rPr>
          <w:rFonts w:ascii="Calibri" w:hAnsi="Calibri"/>
          <w:lang w:val="mk-MK"/>
        </w:rPr>
        <w:t xml:space="preserve">Организациите </w:t>
      </w:r>
      <w:r w:rsidRPr="00B43F6B">
        <w:rPr>
          <w:rFonts w:ascii="Calibri" w:hAnsi="Calibri"/>
          <w:b/>
          <w:lang w:val="mk-MK"/>
        </w:rPr>
        <w:t>мора</w:t>
      </w:r>
      <w:r w:rsidRPr="00B43F6B">
        <w:rPr>
          <w:rFonts w:ascii="Calibri" w:hAnsi="Calibri"/>
          <w:lang w:val="mk-MK"/>
        </w:rPr>
        <w:t xml:space="preserve"> да формираат локални, национални и/или регионални партнерства </w:t>
      </w:r>
      <w:r w:rsidRPr="00B43F6B">
        <w:rPr>
          <w:rFonts w:ascii="Calibri" w:hAnsi="Calibri"/>
          <w:b/>
          <w:lang w:val="mk-MK"/>
        </w:rPr>
        <w:t>со минимум една организација од граѓанското општество како партнер</w:t>
      </w:r>
      <w:r w:rsidRPr="00B43F6B">
        <w:rPr>
          <w:rFonts w:ascii="Calibri" w:hAnsi="Calibri"/>
          <w:lang w:val="mk-MK"/>
        </w:rPr>
        <w:t xml:space="preserve">, за да го зголемат влијанието на нивниот проект и нивните шанси да им се додели грант. </w:t>
      </w:r>
    </w:p>
    <w:p w:rsidR="00D45722" w:rsidRPr="00B43F6B" w:rsidRDefault="00E21C49" w:rsidP="001F7557">
      <w:pPr>
        <w:jc w:val="both"/>
        <w:rPr>
          <w:rFonts w:ascii="Calibri" w:hAnsi="Calibri"/>
          <w:lang w:val="mk-MK"/>
        </w:rPr>
      </w:pPr>
      <w:r w:rsidRPr="00B43F6B">
        <w:rPr>
          <w:rFonts w:ascii="Calibri" w:hAnsi="Calibri"/>
          <w:lang w:val="mk-MK"/>
        </w:rPr>
        <w:t xml:space="preserve">Партнерите мора да </w:t>
      </w:r>
      <w:r w:rsidR="00127B6C" w:rsidRPr="00B43F6B">
        <w:rPr>
          <w:rFonts w:ascii="Calibri" w:hAnsi="Calibri"/>
          <w:lang w:val="mk-MK"/>
        </w:rPr>
        <w:t xml:space="preserve">ги исполнат сите критериуми како главниот </w:t>
      </w:r>
      <w:r w:rsidR="00734A95" w:rsidRPr="00B43F6B">
        <w:rPr>
          <w:rFonts w:ascii="Calibri" w:hAnsi="Calibri"/>
          <w:lang w:val="mk-MK"/>
        </w:rPr>
        <w:t>апликант</w:t>
      </w:r>
      <w:r w:rsidR="00127B6C" w:rsidRPr="00B43F6B">
        <w:rPr>
          <w:rFonts w:ascii="Calibri" w:hAnsi="Calibri"/>
          <w:lang w:val="mk-MK"/>
        </w:rPr>
        <w:t xml:space="preserve">. </w:t>
      </w:r>
    </w:p>
    <w:p w:rsidR="00127B6C" w:rsidRPr="00B43F6B" w:rsidRDefault="00127B6C" w:rsidP="001F7557">
      <w:pPr>
        <w:jc w:val="both"/>
        <w:rPr>
          <w:rFonts w:ascii="Calibri" w:hAnsi="Calibri"/>
          <w:lang w:val="mk-MK"/>
        </w:rPr>
      </w:pPr>
      <w:r w:rsidRPr="00B43F6B">
        <w:rPr>
          <w:rFonts w:ascii="Calibri" w:hAnsi="Calibri"/>
          <w:lang w:val="mk-MK"/>
        </w:rPr>
        <w:t xml:space="preserve">Секое партнерство треба да поднесе единствен образец за апликација и буџет. </w:t>
      </w:r>
    </w:p>
    <w:p w:rsidR="00EA6657" w:rsidRPr="00B43F6B" w:rsidRDefault="00EA6657" w:rsidP="001F7557">
      <w:pPr>
        <w:jc w:val="both"/>
        <w:rPr>
          <w:rFonts w:ascii="Calibri" w:hAnsi="Calibri"/>
          <w:lang w:val="mk-MK"/>
        </w:rPr>
      </w:pPr>
      <w:r w:rsidRPr="00B43F6B">
        <w:rPr>
          <w:rFonts w:ascii="Calibri" w:hAnsi="Calibri"/>
          <w:lang w:val="mk-MK"/>
        </w:rPr>
        <w:t xml:space="preserve">Секој од партнерите треба да </w:t>
      </w:r>
      <w:r w:rsidR="00734A95" w:rsidRPr="00B43F6B">
        <w:rPr>
          <w:rFonts w:ascii="Calibri" w:hAnsi="Calibri"/>
          <w:lang w:val="mk-MK"/>
        </w:rPr>
        <w:t>обезбеди</w:t>
      </w:r>
      <w:r w:rsidRPr="00B43F6B">
        <w:rPr>
          <w:rFonts w:ascii="Calibri" w:hAnsi="Calibri"/>
          <w:lang w:val="mk-MK"/>
        </w:rPr>
        <w:t xml:space="preserve"> правни документи (Статут и Сертификат за регистрација) и Годишни финансиски извештаи за последните три години </w:t>
      </w:r>
      <w:r w:rsidR="0007675F" w:rsidRPr="00B43F6B">
        <w:rPr>
          <w:rFonts w:ascii="Calibri" w:hAnsi="Calibri"/>
          <w:lang w:val="mk-MK"/>
        </w:rPr>
        <w:t xml:space="preserve">релевантни за нивната организација, </w:t>
      </w:r>
      <w:r w:rsidR="00734A95" w:rsidRPr="00B43F6B">
        <w:rPr>
          <w:rFonts w:ascii="Calibri" w:hAnsi="Calibri"/>
          <w:lang w:val="mk-MK"/>
        </w:rPr>
        <w:t>поединечно</w:t>
      </w:r>
      <w:r w:rsidR="0007675F" w:rsidRPr="00B43F6B">
        <w:rPr>
          <w:rFonts w:ascii="Calibri" w:hAnsi="Calibri"/>
          <w:lang w:val="mk-MK"/>
        </w:rPr>
        <w:t xml:space="preserve">. </w:t>
      </w:r>
    </w:p>
    <w:p w:rsidR="00D45722" w:rsidRPr="00B43F6B" w:rsidRDefault="0007675F" w:rsidP="001F7557">
      <w:pPr>
        <w:jc w:val="both"/>
        <w:rPr>
          <w:rFonts w:ascii="Calibri" w:hAnsi="Calibri"/>
          <w:lang w:val="mk-MK"/>
        </w:rPr>
      </w:pPr>
      <w:r w:rsidRPr="00B43F6B">
        <w:rPr>
          <w:rFonts w:ascii="Calibri" w:hAnsi="Calibri"/>
          <w:lang w:val="mk-MK"/>
        </w:rPr>
        <w:t xml:space="preserve">Во буџетот треба да се огледаат финансиските одговорности на секој од партнерите </w:t>
      </w:r>
      <w:r w:rsidR="00734A95" w:rsidRPr="00B43F6B">
        <w:rPr>
          <w:rFonts w:ascii="Calibri" w:hAnsi="Calibri"/>
          <w:lang w:val="mk-MK"/>
        </w:rPr>
        <w:t>поединечно</w:t>
      </w:r>
      <w:r w:rsidRPr="00B43F6B">
        <w:rPr>
          <w:rFonts w:ascii="Calibri" w:hAnsi="Calibri"/>
          <w:lang w:val="mk-MK"/>
        </w:rPr>
        <w:t xml:space="preserve">. Партнерствата треба да имаат </w:t>
      </w:r>
      <w:r w:rsidR="00A51538" w:rsidRPr="00B43F6B">
        <w:rPr>
          <w:rFonts w:ascii="Calibri" w:hAnsi="Calibri"/>
          <w:lang w:val="mk-MK"/>
        </w:rPr>
        <w:t xml:space="preserve">логика при што секој партнер ќе донесе поединечна експертиза на проектот и ќе преземе потребна одговорност, создавајќи ефикасна и кохезивна проектна идеја и план за спроведување. </w:t>
      </w:r>
    </w:p>
    <w:p w:rsidR="00E14612" w:rsidRPr="00B43F6B" w:rsidRDefault="00E14612" w:rsidP="001F7557">
      <w:pPr>
        <w:jc w:val="both"/>
        <w:rPr>
          <w:rFonts w:ascii="Calibri" w:hAnsi="Calibri"/>
          <w:lang w:val="mk-MK"/>
        </w:rPr>
      </w:pPr>
    </w:p>
    <w:p w:rsidR="00DB5EFC" w:rsidRPr="00B43F6B" w:rsidRDefault="00A51538" w:rsidP="0008690C">
      <w:pPr>
        <w:pStyle w:val="Heading2"/>
        <w:spacing w:before="240" w:after="240"/>
        <w:ind w:left="936"/>
        <w:rPr>
          <w:color w:val="365F91" w:themeColor="accent1" w:themeShade="BF"/>
          <w:lang w:val="mk-MK"/>
        </w:rPr>
      </w:pPr>
      <w:bookmarkStart w:id="13" w:name="_Toc498020891"/>
      <w:r w:rsidRPr="00B43F6B">
        <w:rPr>
          <w:color w:val="365F91" w:themeColor="accent1" w:themeShade="BF"/>
          <w:lang w:val="mk-MK"/>
        </w:rPr>
        <w:lastRenderedPageBreak/>
        <w:t>Тематска област</w:t>
      </w:r>
      <w:bookmarkEnd w:id="13"/>
      <w:r w:rsidRPr="00B43F6B">
        <w:rPr>
          <w:color w:val="365F91" w:themeColor="accent1" w:themeShade="BF"/>
          <w:lang w:val="mk-MK"/>
        </w:rPr>
        <w:t xml:space="preserve"> </w:t>
      </w:r>
    </w:p>
    <w:p w:rsidR="00142C63" w:rsidRPr="00B43F6B" w:rsidRDefault="00142C63" w:rsidP="00DB5EFC">
      <w:pPr>
        <w:autoSpaceDE w:val="0"/>
        <w:autoSpaceDN w:val="0"/>
        <w:adjustRightInd w:val="0"/>
        <w:jc w:val="both"/>
        <w:rPr>
          <w:rFonts w:asciiTheme="majorHAnsi" w:hAnsiTheme="majorHAnsi" w:cstheme="majorHAnsi"/>
          <w:bCs/>
          <w:sz w:val="23"/>
          <w:szCs w:val="23"/>
          <w:lang w:val="mk-MK"/>
        </w:rPr>
      </w:pPr>
      <w:r w:rsidRPr="00B43F6B">
        <w:rPr>
          <w:rFonts w:asciiTheme="majorHAnsi" w:hAnsiTheme="majorHAnsi" w:cstheme="majorHAnsi"/>
          <w:b/>
          <w:bCs/>
          <w:sz w:val="23"/>
          <w:szCs w:val="23"/>
          <w:lang w:val="mk-MK"/>
        </w:rPr>
        <w:t xml:space="preserve">Предложените активности во Апликацијата треба да ѝ припаѓаат барем на една од следните тематски области на одржлив развој. </w:t>
      </w:r>
      <w:r w:rsidR="00734A95" w:rsidRPr="00B43F6B">
        <w:rPr>
          <w:rFonts w:asciiTheme="majorHAnsi" w:hAnsiTheme="majorHAnsi" w:cstheme="majorHAnsi"/>
          <w:bCs/>
          <w:sz w:val="23"/>
          <w:szCs w:val="23"/>
          <w:lang w:val="mk-MK"/>
        </w:rPr>
        <w:t>апликанти</w:t>
      </w:r>
      <w:r w:rsidR="00734A95">
        <w:rPr>
          <w:rFonts w:asciiTheme="majorHAnsi" w:hAnsiTheme="majorHAnsi" w:cstheme="majorHAnsi"/>
          <w:bCs/>
          <w:sz w:val="23"/>
          <w:szCs w:val="23"/>
          <w:lang w:val="mk-MK"/>
        </w:rPr>
        <w:t>те</w:t>
      </w:r>
      <w:r w:rsidRPr="00B43F6B">
        <w:rPr>
          <w:rFonts w:asciiTheme="majorHAnsi" w:hAnsiTheme="majorHAnsi" w:cstheme="majorHAnsi"/>
          <w:bCs/>
          <w:sz w:val="23"/>
          <w:szCs w:val="23"/>
          <w:lang w:val="mk-MK"/>
        </w:rPr>
        <w:t xml:space="preserve"> треба да имаат одредено искуство во барем една од следните тематски области за одржлив рурален развој: </w:t>
      </w:r>
    </w:p>
    <w:p w:rsidR="00DB5EFC" w:rsidRPr="00B43F6B" w:rsidRDefault="00142C63" w:rsidP="00B515DA">
      <w:pPr>
        <w:numPr>
          <w:ilvl w:val="0"/>
          <w:numId w:val="6"/>
        </w:numPr>
        <w:spacing w:after="60"/>
        <w:jc w:val="both"/>
        <w:rPr>
          <w:rFonts w:asciiTheme="majorHAnsi" w:hAnsiTheme="majorHAnsi" w:cstheme="majorHAnsi"/>
          <w:lang w:val="mk-MK"/>
        </w:rPr>
      </w:pPr>
      <w:r w:rsidRPr="00B43F6B">
        <w:rPr>
          <w:rFonts w:asciiTheme="majorHAnsi" w:hAnsiTheme="majorHAnsi" w:cstheme="majorHAnsi"/>
          <w:lang w:val="mk-MK"/>
        </w:rPr>
        <w:t>Пристапите на ЛЕАДЕР и на Локалниот развој воден од заедницата</w:t>
      </w:r>
      <w:r w:rsidR="00797203" w:rsidRPr="00B43F6B">
        <w:rPr>
          <w:rFonts w:asciiTheme="majorHAnsi" w:hAnsiTheme="majorHAnsi" w:cstheme="majorHAnsi"/>
          <w:lang w:val="mk-MK"/>
        </w:rPr>
        <w:t>;</w:t>
      </w:r>
    </w:p>
    <w:p w:rsidR="00797203" w:rsidRPr="00B43F6B" w:rsidRDefault="00142C63" w:rsidP="00B515DA">
      <w:pPr>
        <w:numPr>
          <w:ilvl w:val="0"/>
          <w:numId w:val="6"/>
        </w:numPr>
        <w:spacing w:after="60"/>
        <w:jc w:val="both"/>
        <w:rPr>
          <w:rFonts w:asciiTheme="majorHAnsi" w:hAnsiTheme="majorHAnsi" w:cstheme="majorHAnsi"/>
          <w:lang w:val="mk-MK"/>
        </w:rPr>
      </w:pPr>
      <w:r w:rsidRPr="00B43F6B">
        <w:rPr>
          <w:rFonts w:asciiTheme="majorHAnsi" w:hAnsiTheme="majorHAnsi" w:cstheme="majorHAnsi"/>
          <w:lang w:val="mk-MK"/>
        </w:rPr>
        <w:t>Рурален развој</w:t>
      </w:r>
      <w:r w:rsidR="00797203" w:rsidRPr="00B43F6B">
        <w:rPr>
          <w:rFonts w:asciiTheme="majorHAnsi" w:hAnsiTheme="majorHAnsi" w:cstheme="majorHAnsi"/>
          <w:lang w:val="mk-MK"/>
        </w:rPr>
        <w:t>;</w:t>
      </w:r>
    </w:p>
    <w:p w:rsidR="00797203" w:rsidRPr="00B43F6B" w:rsidRDefault="00142C63" w:rsidP="00B515DA">
      <w:pPr>
        <w:numPr>
          <w:ilvl w:val="0"/>
          <w:numId w:val="6"/>
        </w:numPr>
        <w:spacing w:after="60"/>
        <w:jc w:val="both"/>
        <w:rPr>
          <w:rFonts w:asciiTheme="majorHAnsi" w:hAnsiTheme="majorHAnsi" w:cstheme="majorHAnsi"/>
          <w:lang w:val="mk-MK"/>
        </w:rPr>
      </w:pPr>
      <w:r w:rsidRPr="00B43F6B">
        <w:rPr>
          <w:rFonts w:asciiTheme="majorHAnsi" w:hAnsiTheme="majorHAnsi" w:cstheme="majorHAnsi"/>
          <w:lang w:val="mk-MK"/>
        </w:rPr>
        <w:t>Одржливо управување со природни ресурси</w:t>
      </w:r>
      <w:r w:rsidR="00797203" w:rsidRPr="00B43F6B">
        <w:rPr>
          <w:rFonts w:asciiTheme="majorHAnsi" w:hAnsiTheme="majorHAnsi" w:cstheme="majorHAnsi"/>
          <w:lang w:val="mk-MK"/>
        </w:rPr>
        <w:t>;</w:t>
      </w:r>
    </w:p>
    <w:p w:rsidR="00142C63" w:rsidRPr="00B43F6B" w:rsidRDefault="00142C63" w:rsidP="00B515DA">
      <w:pPr>
        <w:numPr>
          <w:ilvl w:val="0"/>
          <w:numId w:val="6"/>
        </w:numPr>
        <w:spacing w:after="60"/>
        <w:jc w:val="both"/>
        <w:rPr>
          <w:rFonts w:asciiTheme="majorHAnsi" w:hAnsiTheme="majorHAnsi" w:cstheme="majorHAnsi"/>
          <w:lang w:val="mk-MK"/>
        </w:rPr>
      </w:pPr>
      <w:r w:rsidRPr="00B43F6B">
        <w:rPr>
          <w:rFonts w:asciiTheme="majorHAnsi" w:hAnsiTheme="majorHAnsi" w:cstheme="majorHAnsi"/>
          <w:lang w:val="mk-MK"/>
        </w:rPr>
        <w:t xml:space="preserve">Заштита на животната средина; </w:t>
      </w:r>
    </w:p>
    <w:p w:rsidR="00797203" w:rsidRPr="00B43F6B" w:rsidRDefault="00142C63" w:rsidP="00B515DA">
      <w:pPr>
        <w:numPr>
          <w:ilvl w:val="0"/>
          <w:numId w:val="6"/>
        </w:numPr>
        <w:spacing w:after="60"/>
        <w:jc w:val="both"/>
        <w:rPr>
          <w:rFonts w:asciiTheme="majorHAnsi" w:hAnsiTheme="majorHAnsi" w:cstheme="majorHAnsi"/>
          <w:lang w:val="mk-MK"/>
        </w:rPr>
      </w:pPr>
      <w:r w:rsidRPr="00B43F6B">
        <w:rPr>
          <w:rFonts w:asciiTheme="majorHAnsi" w:hAnsiTheme="majorHAnsi" w:cstheme="majorHAnsi"/>
          <w:lang w:val="mk-MK"/>
        </w:rPr>
        <w:t>Социјална економија</w:t>
      </w:r>
      <w:r w:rsidR="00797203" w:rsidRPr="00B43F6B">
        <w:rPr>
          <w:rFonts w:asciiTheme="majorHAnsi" w:hAnsiTheme="majorHAnsi" w:cstheme="majorHAnsi"/>
          <w:lang w:val="mk-MK"/>
        </w:rPr>
        <w:t>;</w:t>
      </w:r>
    </w:p>
    <w:p w:rsidR="00797203" w:rsidRPr="00B43F6B" w:rsidRDefault="00142C63" w:rsidP="00B515DA">
      <w:pPr>
        <w:numPr>
          <w:ilvl w:val="0"/>
          <w:numId w:val="6"/>
        </w:numPr>
        <w:spacing w:after="60"/>
        <w:jc w:val="both"/>
        <w:rPr>
          <w:rFonts w:asciiTheme="majorHAnsi" w:hAnsiTheme="majorHAnsi" w:cstheme="majorHAnsi"/>
          <w:lang w:val="mk-MK"/>
        </w:rPr>
      </w:pPr>
      <w:r w:rsidRPr="00B43F6B">
        <w:rPr>
          <w:rFonts w:asciiTheme="majorHAnsi" w:hAnsiTheme="majorHAnsi" w:cstheme="majorHAnsi"/>
          <w:lang w:val="mk-MK"/>
        </w:rPr>
        <w:t>Иновации во социо-економски развој</w:t>
      </w:r>
      <w:r w:rsidR="00797203" w:rsidRPr="00B43F6B">
        <w:rPr>
          <w:rFonts w:asciiTheme="majorHAnsi" w:hAnsiTheme="majorHAnsi" w:cstheme="majorHAnsi"/>
          <w:lang w:val="mk-MK"/>
        </w:rPr>
        <w:t>;</w:t>
      </w:r>
    </w:p>
    <w:p w:rsidR="00797203" w:rsidRPr="00B43F6B" w:rsidRDefault="00142C63" w:rsidP="00B515DA">
      <w:pPr>
        <w:numPr>
          <w:ilvl w:val="0"/>
          <w:numId w:val="6"/>
        </w:numPr>
        <w:spacing w:after="60"/>
        <w:jc w:val="both"/>
        <w:rPr>
          <w:rFonts w:asciiTheme="majorHAnsi" w:hAnsiTheme="majorHAnsi" w:cstheme="majorHAnsi"/>
          <w:lang w:val="mk-MK"/>
        </w:rPr>
      </w:pPr>
      <w:r w:rsidRPr="00B43F6B">
        <w:rPr>
          <w:rFonts w:asciiTheme="majorHAnsi" w:hAnsiTheme="majorHAnsi" w:cstheme="majorHAnsi"/>
          <w:lang w:val="mk-MK"/>
        </w:rPr>
        <w:t>Одржливо земјоделство</w:t>
      </w:r>
      <w:r w:rsidR="00797203" w:rsidRPr="00B43F6B">
        <w:rPr>
          <w:rFonts w:asciiTheme="majorHAnsi" w:hAnsiTheme="majorHAnsi" w:cstheme="majorHAnsi"/>
          <w:lang w:val="mk-MK"/>
        </w:rPr>
        <w:t>;</w:t>
      </w:r>
    </w:p>
    <w:p w:rsidR="00DB5EFC" w:rsidRPr="00B43F6B" w:rsidRDefault="00142C63" w:rsidP="00B515DA">
      <w:pPr>
        <w:numPr>
          <w:ilvl w:val="0"/>
          <w:numId w:val="6"/>
        </w:numPr>
        <w:spacing w:after="60"/>
        <w:jc w:val="both"/>
        <w:rPr>
          <w:rFonts w:asciiTheme="majorHAnsi" w:hAnsiTheme="majorHAnsi" w:cstheme="majorHAnsi"/>
          <w:lang w:val="mk-MK"/>
        </w:rPr>
      </w:pPr>
      <w:r w:rsidRPr="00B43F6B">
        <w:rPr>
          <w:rFonts w:asciiTheme="majorHAnsi" w:hAnsiTheme="majorHAnsi" w:cstheme="majorHAnsi"/>
          <w:lang w:val="mk-MK"/>
        </w:rPr>
        <w:t>Диверзификација на економските активности во руралните области</w:t>
      </w:r>
      <w:r w:rsidR="00DB5EFC" w:rsidRPr="00B43F6B">
        <w:rPr>
          <w:rFonts w:asciiTheme="majorHAnsi" w:hAnsiTheme="majorHAnsi" w:cstheme="majorHAnsi"/>
          <w:lang w:val="mk-MK"/>
        </w:rPr>
        <w:t>.</w:t>
      </w:r>
    </w:p>
    <w:p w:rsidR="00DB06DA" w:rsidRPr="00B43F6B" w:rsidRDefault="00142C63" w:rsidP="0008690C">
      <w:pPr>
        <w:pStyle w:val="Heading2"/>
        <w:spacing w:before="240" w:after="240"/>
        <w:ind w:left="936"/>
        <w:rPr>
          <w:color w:val="365F91" w:themeColor="accent1" w:themeShade="BF"/>
          <w:lang w:val="mk-MK"/>
        </w:rPr>
      </w:pPr>
      <w:bookmarkStart w:id="14" w:name="_Toc498020892"/>
      <w:r w:rsidRPr="00B43F6B">
        <w:rPr>
          <w:color w:val="365F91" w:themeColor="accent1" w:themeShade="BF"/>
          <w:lang w:val="mk-MK"/>
        </w:rPr>
        <w:t>Подобност на трошоците</w:t>
      </w:r>
      <w:bookmarkEnd w:id="14"/>
      <w:r w:rsidRPr="00B43F6B">
        <w:rPr>
          <w:color w:val="365F91" w:themeColor="accent1" w:themeShade="BF"/>
          <w:lang w:val="mk-MK"/>
        </w:rPr>
        <w:t xml:space="preserve"> </w:t>
      </w:r>
    </w:p>
    <w:p w:rsidR="001158FF" w:rsidRPr="00B43F6B" w:rsidRDefault="00142C63" w:rsidP="001158FF">
      <w:pPr>
        <w:spacing w:after="120"/>
        <w:jc w:val="both"/>
        <w:rPr>
          <w:rFonts w:ascii="Calibri" w:hAnsi="Calibri"/>
          <w:lang w:val="mk-MK"/>
        </w:rPr>
      </w:pPr>
      <w:r w:rsidRPr="00B43F6B">
        <w:rPr>
          <w:rFonts w:ascii="Calibri" w:hAnsi="Calibri"/>
          <w:lang w:val="mk-MK"/>
        </w:rPr>
        <w:t>Максимален износ што може да се даде по грант</w:t>
      </w:r>
      <w:r w:rsidR="00D45722" w:rsidRPr="00B43F6B">
        <w:rPr>
          <w:rFonts w:ascii="Calibri" w:hAnsi="Calibri"/>
          <w:lang w:val="mk-MK"/>
        </w:rPr>
        <w:t xml:space="preserve">: 17.000 </w:t>
      </w:r>
      <w:r w:rsidRPr="00B43F6B">
        <w:rPr>
          <w:rFonts w:ascii="Calibri" w:hAnsi="Calibri"/>
          <w:lang w:val="mk-MK"/>
        </w:rPr>
        <w:t>евра</w:t>
      </w:r>
      <w:r w:rsidR="00D45722" w:rsidRPr="00B43F6B">
        <w:rPr>
          <w:rFonts w:ascii="Calibri" w:hAnsi="Calibri"/>
          <w:lang w:val="mk-MK"/>
        </w:rPr>
        <w:t>.</w:t>
      </w:r>
    </w:p>
    <w:p w:rsidR="00142C63" w:rsidRPr="00B43F6B" w:rsidRDefault="00142C63" w:rsidP="001158FF">
      <w:pPr>
        <w:spacing w:after="120"/>
        <w:jc w:val="both"/>
        <w:rPr>
          <w:rFonts w:ascii="Calibri" w:hAnsi="Calibri"/>
          <w:lang w:val="mk-MK"/>
        </w:rPr>
      </w:pPr>
      <w:r w:rsidRPr="00B43F6B">
        <w:rPr>
          <w:rFonts w:ascii="Calibri" w:hAnsi="Calibri"/>
          <w:lang w:val="mk-MK"/>
        </w:rPr>
        <w:t xml:space="preserve">Секој грант што се бара во рамките на Повикот за поднесување понуди, мора да припаѓа </w:t>
      </w:r>
      <w:r w:rsidR="003F6642" w:rsidRPr="00B43F6B">
        <w:rPr>
          <w:rFonts w:ascii="Calibri" w:hAnsi="Calibri"/>
          <w:lang w:val="mk-MK"/>
        </w:rPr>
        <w:t>помеѓу</w:t>
      </w:r>
      <w:r w:rsidRPr="00B43F6B">
        <w:rPr>
          <w:rFonts w:ascii="Calibri" w:hAnsi="Calibri"/>
          <w:lang w:val="mk-MK"/>
        </w:rPr>
        <w:t xml:space="preserve"> следните </w:t>
      </w:r>
      <w:r w:rsidR="003F6642" w:rsidRPr="00B43F6B">
        <w:rPr>
          <w:rFonts w:ascii="Calibri" w:hAnsi="Calibri"/>
          <w:lang w:val="mk-MK"/>
        </w:rPr>
        <w:t xml:space="preserve">минимални и максимални проценти на вкупно подобни трошоци на акцијата: </w:t>
      </w:r>
    </w:p>
    <w:p w:rsidR="001158FF" w:rsidRPr="00B43F6B" w:rsidRDefault="003F6642" w:rsidP="001158FF">
      <w:pPr>
        <w:pStyle w:val="ListParagraph"/>
        <w:numPr>
          <w:ilvl w:val="0"/>
          <w:numId w:val="20"/>
        </w:numPr>
        <w:spacing w:after="120"/>
        <w:jc w:val="both"/>
        <w:rPr>
          <w:rFonts w:ascii="Calibri" w:hAnsi="Calibri"/>
          <w:lang w:val="mk-MK"/>
        </w:rPr>
      </w:pPr>
      <w:r w:rsidRPr="00B43F6B">
        <w:rPr>
          <w:rFonts w:ascii="Calibri" w:hAnsi="Calibri"/>
          <w:lang w:val="mk-MK"/>
        </w:rPr>
        <w:t xml:space="preserve">Минимум </w:t>
      </w:r>
      <w:r w:rsidR="001158FF" w:rsidRPr="00B43F6B">
        <w:rPr>
          <w:rFonts w:ascii="Calibri" w:hAnsi="Calibri"/>
          <w:lang w:val="mk-MK"/>
        </w:rPr>
        <w:t xml:space="preserve">70 % </w:t>
      </w:r>
      <w:r w:rsidRPr="00B43F6B">
        <w:rPr>
          <w:rFonts w:ascii="Calibri" w:hAnsi="Calibri"/>
          <w:lang w:val="mk-MK"/>
        </w:rPr>
        <w:t>од вкупните подобни трошоци на акцијата</w:t>
      </w:r>
      <w:r w:rsidR="001158FF" w:rsidRPr="00B43F6B">
        <w:rPr>
          <w:rFonts w:ascii="Calibri" w:hAnsi="Calibri"/>
          <w:lang w:val="mk-MK"/>
        </w:rPr>
        <w:t>.</w:t>
      </w:r>
    </w:p>
    <w:p w:rsidR="00DB06DA" w:rsidRPr="00B43F6B" w:rsidRDefault="003F6642" w:rsidP="001158FF">
      <w:pPr>
        <w:pStyle w:val="ListParagraph"/>
        <w:numPr>
          <w:ilvl w:val="0"/>
          <w:numId w:val="20"/>
        </w:numPr>
        <w:spacing w:after="120"/>
        <w:jc w:val="both"/>
        <w:rPr>
          <w:rFonts w:ascii="Calibri" w:hAnsi="Calibri"/>
          <w:lang w:val="mk-MK"/>
        </w:rPr>
      </w:pPr>
      <w:r w:rsidRPr="00B43F6B">
        <w:rPr>
          <w:rFonts w:ascii="Calibri" w:hAnsi="Calibri"/>
          <w:lang w:val="mk-MK"/>
        </w:rPr>
        <w:t>Максимум проценти</w:t>
      </w:r>
      <w:r w:rsidR="001158FF" w:rsidRPr="00B43F6B">
        <w:rPr>
          <w:rFonts w:ascii="Calibri" w:hAnsi="Calibri"/>
          <w:lang w:val="mk-MK"/>
        </w:rPr>
        <w:t xml:space="preserve">: 90 % </w:t>
      </w:r>
      <w:r w:rsidRPr="00B43F6B">
        <w:rPr>
          <w:rFonts w:ascii="Calibri" w:hAnsi="Calibri"/>
          <w:lang w:val="mk-MK"/>
        </w:rPr>
        <w:t>од вкупните трошоци на акцијата</w:t>
      </w:r>
      <w:r w:rsidR="001158FF" w:rsidRPr="00B43F6B">
        <w:rPr>
          <w:rFonts w:ascii="Calibri" w:hAnsi="Calibri"/>
          <w:lang w:val="mk-MK"/>
        </w:rPr>
        <w:t>.</w:t>
      </w:r>
    </w:p>
    <w:p w:rsidR="00CC0704" w:rsidRPr="00B43F6B" w:rsidRDefault="003F6642" w:rsidP="003F6642">
      <w:pPr>
        <w:autoSpaceDE w:val="0"/>
        <w:autoSpaceDN w:val="0"/>
        <w:adjustRightInd w:val="0"/>
        <w:jc w:val="both"/>
        <w:rPr>
          <w:rFonts w:asciiTheme="majorHAnsi" w:hAnsiTheme="majorHAnsi" w:cstheme="majorHAnsi"/>
          <w:lang w:val="mk-MK"/>
        </w:rPr>
      </w:pPr>
      <w:r w:rsidRPr="00B43F6B">
        <w:rPr>
          <w:rFonts w:asciiTheme="majorHAnsi" w:hAnsiTheme="majorHAnsi" w:cstheme="majorHAnsi"/>
          <w:lang w:val="mk-MK"/>
        </w:rPr>
        <w:t xml:space="preserve">Билансот </w:t>
      </w:r>
      <w:r w:rsidR="00CC0704" w:rsidRPr="00B43F6B">
        <w:rPr>
          <w:rFonts w:asciiTheme="majorHAnsi" w:hAnsiTheme="majorHAnsi" w:cstheme="majorHAnsi"/>
          <w:lang w:val="mk-MK"/>
        </w:rPr>
        <w:t>(</w:t>
      </w:r>
      <w:r w:rsidRPr="00B43F6B">
        <w:rPr>
          <w:rFonts w:asciiTheme="majorHAnsi" w:hAnsiTheme="majorHAnsi" w:cstheme="majorHAnsi"/>
          <w:lang w:val="mk-MK"/>
        </w:rPr>
        <w:t>разликата помеѓу вкупните трошоци на акцијата и побараниот износ) мора да се финансираат од извори што не црпат од Буџетот на Европската унија, ниту од Европскиот развоен фонд</w:t>
      </w:r>
      <w:r w:rsidR="00CC0704" w:rsidRPr="00B43F6B">
        <w:rPr>
          <w:rStyle w:val="FootnoteReference"/>
          <w:rFonts w:asciiTheme="majorHAnsi" w:hAnsiTheme="majorHAnsi" w:cstheme="majorHAnsi"/>
          <w:sz w:val="24"/>
          <w:lang w:val="mk-MK"/>
        </w:rPr>
        <w:footnoteReference w:id="1"/>
      </w:r>
      <w:r w:rsidR="00CC0704" w:rsidRPr="00B43F6B">
        <w:rPr>
          <w:rFonts w:asciiTheme="majorHAnsi" w:hAnsiTheme="majorHAnsi" w:cstheme="majorHAnsi"/>
          <w:lang w:val="mk-MK"/>
        </w:rPr>
        <w:t>.</w:t>
      </w:r>
    </w:p>
    <w:p w:rsidR="00782747" w:rsidRPr="00B43F6B" w:rsidRDefault="003F6642" w:rsidP="00866555">
      <w:pPr>
        <w:pStyle w:val="Heading3"/>
        <w:spacing w:before="120" w:after="120"/>
        <w:ind w:left="1440"/>
        <w:rPr>
          <w:color w:val="365F91" w:themeColor="accent1" w:themeShade="BF"/>
          <w:sz w:val="26"/>
          <w:szCs w:val="26"/>
          <w:lang w:val="mk-MK"/>
        </w:rPr>
      </w:pPr>
      <w:bookmarkStart w:id="15" w:name="_Toc498020893"/>
      <w:r w:rsidRPr="00B43F6B">
        <w:rPr>
          <w:color w:val="365F91" w:themeColor="accent1" w:themeShade="BF"/>
          <w:sz w:val="26"/>
          <w:szCs w:val="26"/>
          <w:lang w:val="mk-MK"/>
        </w:rPr>
        <w:t>Акции подобни за финансирање</w:t>
      </w:r>
      <w:bookmarkEnd w:id="15"/>
      <w:r w:rsidRPr="00B43F6B">
        <w:rPr>
          <w:color w:val="365F91" w:themeColor="accent1" w:themeShade="BF"/>
          <w:sz w:val="26"/>
          <w:szCs w:val="26"/>
          <w:lang w:val="mk-MK"/>
        </w:rPr>
        <w:t xml:space="preserve"> </w:t>
      </w:r>
    </w:p>
    <w:p w:rsidR="00442FF4" w:rsidRPr="00B43F6B" w:rsidRDefault="00442FF4" w:rsidP="001F7557">
      <w:pPr>
        <w:jc w:val="both"/>
        <w:rPr>
          <w:rFonts w:ascii="Calibri" w:hAnsi="Calibri" w:cs="Arial"/>
          <w:lang w:val="mk-MK"/>
        </w:rPr>
      </w:pPr>
      <w:r w:rsidRPr="00B43F6B">
        <w:rPr>
          <w:rFonts w:ascii="Calibri" w:hAnsi="Calibri" w:cs="Arial"/>
          <w:lang w:val="mk-MK"/>
        </w:rPr>
        <w:t xml:space="preserve">Во процесот на аплицирање, од организациите апликанти ќе се бара да предложат активности што се комплементарни и што проследуваат други активности планирани во рамките на оваа Акција, а кои ќе одговараат на која било од следните видови активности: </w:t>
      </w:r>
    </w:p>
    <w:p w:rsidR="00F43DE1" w:rsidRPr="00B43F6B" w:rsidRDefault="00442FF4" w:rsidP="00F15330">
      <w:pPr>
        <w:numPr>
          <w:ilvl w:val="0"/>
          <w:numId w:val="6"/>
        </w:numPr>
        <w:jc w:val="both"/>
        <w:rPr>
          <w:rFonts w:ascii="Calibri" w:hAnsi="Calibri" w:cs="Arial"/>
          <w:lang w:val="mk-MK"/>
        </w:rPr>
      </w:pPr>
      <w:r w:rsidRPr="00B43F6B">
        <w:rPr>
          <w:rFonts w:ascii="Calibri" w:hAnsi="Calibri" w:cs="Arial"/>
          <w:lang w:val="mk-MK"/>
        </w:rPr>
        <w:t>Акции за обука, студиски посети и посети на терен</w:t>
      </w:r>
      <w:r w:rsidR="00F43DE1" w:rsidRPr="00B43F6B">
        <w:rPr>
          <w:rFonts w:ascii="Calibri" w:hAnsi="Calibri" w:cs="Arial"/>
          <w:lang w:val="mk-MK"/>
        </w:rPr>
        <w:t xml:space="preserve">; </w:t>
      </w:r>
    </w:p>
    <w:p w:rsidR="00F43DE1" w:rsidRPr="00B43F6B" w:rsidRDefault="00442FF4" w:rsidP="00F15330">
      <w:pPr>
        <w:numPr>
          <w:ilvl w:val="0"/>
          <w:numId w:val="6"/>
        </w:numPr>
        <w:jc w:val="both"/>
        <w:rPr>
          <w:rFonts w:ascii="Calibri" w:hAnsi="Calibri" w:cs="Arial"/>
          <w:lang w:val="mk-MK"/>
        </w:rPr>
      </w:pPr>
      <w:r w:rsidRPr="00B43F6B">
        <w:rPr>
          <w:rFonts w:ascii="Calibri" w:hAnsi="Calibri" w:cs="Arial"/>
          <w:lang w:val="mk-MK"/>
        </w:rPr>
        <w:t>Олеснување контакти, консултации и дискусии помеѓу различните чинители</w:t>
      </w:r>
      <w:r w:rsidR="00F43DE1" w:rsidRPr="00B43F6B">
        <w:rPr>
          <w:rFonts w:ascii="Calibri" w:hAnsi="Calibri" w:cs="Arial"/>
          <w:lang w:val="mk-MK"/>
        </w:rPr>
        <w:t>;</w:t>
      </w:r>
    </w:p>
    <w:p w:rsidR="00F43DE1" w:rsidRPr="00B43F6B" w:rsidRDefault="00442FF4" w:rsidP="00F15330">
      <w:pPr>
        <w:numPr>
          <w:ilvl w:val="0"/>
          <w:numId w:val="6"/>
        </w:numPr>
        <w:jc w:val="both"/>
        <w:rPr>
          <w:rFonts w:ascii="Calibri" w:hAnsi="Calibri" w:cs="Arial"/>
          <w:lang w:val="mk-MK"/>
        </w:rPr>
      </w:pPr>
      <w:r w:rsidRPr="00B43F6B">
        <w:rPr>
          <w:rFonts w:ascii="Calibri" w:hAnsi="Calibri" w:cs="Arial"/>
          <w:lang w:val="mk-MK"/>
        </w:rPr>
        <w:t>Комуникациски и информациски активности чијашто цел е поддршка на консултациите со чинителите</w:t>
      </w:r>
      <w:r w:rsidR="00F43DE1" w:rsidRPr="00B43F6B">
        <w:rPr>
          <w:rFonts w:ascii="Calibri" w:hAnsi="Calibri" w:cs="Arial"/>
          <w:lang w:val="mk-MK"/>
        </w:rPr>
        <w:t>;</w:t>
      </w:r>
    </w:p>
    <w:p w:rsidR="00F43DE1" w:rsidRPr="00B43F6B" w:rsidRDefault="00442FF4" w:rsidP="00442FF4">
      <w:pPr>
        <w:numPr>
          <w:ilvl w:val="0"/>
          <w:numId w:val="6"/>
        </w:numPr>
        <w:jc w:val="both"/>
        <w:rPr>
          <w:rFonts w:ascii="Calibri" w:hAnsi="Calibri" w:cs="Arial"/>
          <w:lang w:val="mk-MK"/>
        </w:rPr>
      </w:pPr>
      <w:r w:rsidRPr="00B43F6B">
        <w:rPr>
          <w:rFonts w:ascii="Calibri" w:hAnsi="Calibri" w:cs="Arial"/>
          <w:lang w:val="mk-MK"/>
        </w:rPr>
        <w:t>Организирање округли маси, работилници и семинари</w:t>
      </w:r>
      <w:r w:rsidR="00F43DE1" w:rsidRPr="00B43F6B">
        <w:rPr>
          <w:rFonts w:ascii="Calibri" w:hAnsi="Calibri" w:cs="Arial"/>
          <w:lang w:val="mk-MK"/>
        </w:rPr>
        <w:t>;</w:t>
      </w:r>
    </w:p>
    <w:p w:rsidR="00442FF4" w:rsidRPr="00B43F6B" w:rsidRDefault="00442FF4" w:rsidP="00442FF4">
      <w:pPr>
        <w:numPr>
          <w:ilvl w:val="0"/>
          <w:numId w:val="6"/>
        </w:numPr>
        <w:jc w:val="both"/>
        <w:rPr>
          <w:rFonts w:ascii="Calibri" w:hAnsi="Calibri" w:cs="Arial"/>
          <w:lang w:val="mk-MK"/>
        </w:rPr>
      </w:pPr>
      <w:r w:rsidRPr="00B43F6B">
        <w:rPr>
          <w:rFonts w:ascii="Calibri" w:hAnsi="Calibri" w:cs="Arial"/>
          <w:lang w:val="mk-MK"/>
        </w:rPr>
        <w:t xml:space="preserve">Изработка на препораки за политиките или </w:t>
      </w:r>
      <w:r w:rsidR="00734A95" w:rsidRPr="00B43F6B">
        <w:rPr>
          <w:rFonts w:ascii="Calibri" w:hAnsi="Calibri" w:cs="Arial"/>
          <w:lang w:val="mk-MK"/>
        </w:rPr>
        <w:t>законодавството</w:t>
      </w:r>
      <w:r w:rsidRPr="00B43F6B">
        <w:rPr>
          <w:rFonts w:ascii="Calibri" w:hAnsi="Calibri" w:cs="Arial"/>
          <w:lang w:val="mk-MK"/>
        </w:rPr>
        <w:t xml:space="preserve">; </w:t>
      </w:r>
    </w:p>
    <w:p w:rsidR="00AA7FA2" w:rsidRPr="00B43F6B" w:rsidRDefault="00AA7FA2" w:rsidP="00F15330">
      <w:pPr>
        <w:numPr>
          <w:ilvl w:val="0"/>
          <w:numId w:val="6"/>
        </w:numPr>
        <w:jc w:val="both"/>
        <w:rPr>
          <w:rFonts w:ascii="Calibri" w:hAnsi="Calibri" w:cs="Arial"/>
          <w:lang w:val="mk-MK"/>
        </w:rPr>
      </w:pPr>
      <w:r w:rsidRPr="00B43F6B">
        <w:rPr>
          <w:rFonts w:ascii="Calibri" w:hAnsi="Calibri" w:cs="Arial"/>
          <w:lang w:val="mk-MK"/>
        </w:rPr>
        <w:lastRenderedPageBreak/>
        <w:t xml:space="preserve">Промоција на спроведувањето на усвоените закони и прописи; </w:t>
      </w:r>
    </w:p>
    <w:p w:rsidR="00AA7FA2" w:rsidRPr="00B43F6B" w:rsidRDefault="00AA7FA2" w:rsidP="00F15330">
      <w:pPr>
        <w:numPr>
          <w:ilvl w:val="0"/>
          <w:numId w:val="6"/>
        </w:numPr>
        <w:jc w:val="both"/>
        <w:rPr>
          <w:rFonts w:ascii="Calibri" w:hAnsi="Calibri" w:cs="Arial"/>
          <w:lang w:val="mk-MK"/>
        </w:rPr>
      </w:pPr>
      <w:r w:rsidRPr="00B43F6B">
        <w:rPr>
          <w:rFonts w:ascii="Calibri" w:hAnsi="Calibri" w:cs="Arial"/>
          <w:lang w:val="mk-MK"/>
        </w:rPr>
        <w:t xml:space="preserve">Застапување за ревизија на постојното законодавство и усвојување ново во согласност со стандардите и барањата на ЕУ; </w:t>
      </w:r>
    </w:p>
    <w:p w:rsidR="002C200E" w:rsidRPr="00B43F6B" w:rsidRDefault="002C200E" w:rsidP="00F15330">
      <w:pPr>
        <w:numPr>
          <w:ilvl w:val="0"/>
          <w:numId w:val="6"/>
        </w:numPr>
        <w:jc w:val="both"/>
        <w:rPr>
          <w:rFonts w:ascii="Calibri" w:hAnsi="Calibri" w:cs="Arial"/>
          <w:lang w:val="mk-MK"/>
        </w:rPr>
      </w:pPr>
      <w:r w:rsidRPr="00B43F6B">
        <w:rPr>
          <w:rFonts w:ascii="Calibri" w:hAnsi="Calibri" w:cs="Arial"/>
          <w:lang w:val="mk-MK"/>
        </w:rPr>
        <w:t xml:space="preserve">Воспоставување дијалог со политичките партии, групи на парламентарци или законодавни тела; </w:t>
      </w:r>
    </w:p>
    <w:p w:rsidR="00F43DE1" w:rsidRPr="00B43F6B" w:rsidRDefault="002C200E" w:rsidP="00F15330">
      <w:pPr>
        <w:numPr>
          <w:ilvl w:val="0"/>
          <w:numId w:val="6"/>
        </w:numPr>
        <w:jc w:val="both"/>
        <w:rPr>
          <w:rFonts w:ascii="Calibri" w:hAnsi="Calibri" w:cs="Arial"/>
          <w:lang w:val="mk-MK"/>
        </w:rPr>
      </w:pPr>
      <w:r w:rsidRPr="00B43F6B">
        <w:rPr>
          <w:rFonts w:ascii="Calibri" w:hAnsi="Calibri" w:cs="Arial"/>
          <w:lang w:val="mk-MK"/>
        </w:rPr>
        <w:t xml:space="preserve">Воспоставување дијалог со чинителите релевантни за процесот на носење одлуки во </w:t>
      </w:r>
      <w:r w:rsidR="00734A95" w:rsidRPr="00B43F6B">
        <w:rPr>
          <w:rFonts w:ascii="Calibri" w:hAnsi="Calibri" w:cs="Arial"/>
          <w:lang w:val="mk-MK"/>
        </w:rPr>
        <w:t>врска</w:t>
      </w:r>
      <w:r w:rsidRPr="00B43F6B">
        <w:rPr>
          <w:rFonts w:ascii="Calibri" w:hAnsi="Calibri" w:cs="Arial"/>
          <w:lang w:val="mk-MK"/>
        </w:rPr>
        <w:t xml:space="preserve"> со</w:t>
      </w:r>
      <w:r w:rsidR="006A236A">
        <w:rPr>
          <w:rFonts w:ascii="Calibri" w:hAnsi="Calibri" w:cs="Arial"/>
        </w:rPr>
        <w:t xml:space="preserve"> </w:t>
      </w:r>
      <w:r w:rsidR="006A236A">
        <w:rPr>
          <w:rFonts w:ascii="Calibri" w:hAnsi="Calibri" w:cs="Arial"/>
          <w:lang w:val="mk-MK"/>
        </w:rPr>
        <w:t>Оценката за влијание врз животната средина/Стратешка оценка за животната средина</w:t>
      </w:r>
      <w:r w:rsidRPr="00B43F6B">
        <w:rPr>
          <w:rFonts w:ascii="Calibri" w:hAnsi="Calibri" w:cs="Arial"/>
          <w:lang w:val="mk-MK"/>
        </w:rPr>
        <w:t xml:space="preserve"> </w:t>
      </w:r>
      <w:r w:rsidR="006A236A">
        <w:rPr>
          <w:rFonts w:ascii="Calibri" w:hAnsi="Calibri" w:cs="Arial"/>
          <w:lang w:val="mk-MK"/>
        </w:rPr>
        <w:t>(</w:t>
      </w:r>
      <w:r w:rsidR="00F43DE1" w:rsidRPr="00B43F6B">
        <w:rPr>
          <w:rFonts w:ascii="Calibri" w:hAnsi="Calibri" w:cs="Arial"/>
          <w:lang w:val="mk-MK"/>
        </w:rPr>
        <w:t>EIA/SEA</w:t>
      </w:r>
      <w:r w:rsidR="006A236A">
        <w:rPr>
          <w:rFonts w:ascii="Calibri" w:hAnsi="Calibri" w:cs="Arial"/>
          <w:lang w:val="mk-MK"/>
        </w:rPr>
        <w:t>)</w:t>
      </w:r>
      <w:r w:rsidR="00F43DE1" w:rsidRPr="00B43F6B">
        <w:rPr>
          <w:rFonts w:ascii="Calibri" w:hAnsi="Calibri" w:cs="Arial"/>
          <w:lang w:val="mk-MK"/>
        </w:rPr>
        <w:t>;</w:t>
      </w:r>
      <w:r w:rsidR="006A236A">
        <w:rPr>
          <w:rFonts w:ascii="Calibri" w:hAnsi="Calibri" w:cs="Arial"/>
        </w:rPr>
        <w:t xml:space="preserve"> </w:t>
      </w:r>
    </w:p>
    <w:p w:rsidR="00F43DE1" w:rsidRPr="00B43F6B" w:rsidRDefault="002C200E" w:rsidP="002C200E">
      <w:pPr>
        <w:numPr>
          <w:ilvl w:val="0"/>
          <w:numId w:val="6"/>
        </w:numPr>
        <w:jc w:val="both"/>
        <w:rPr>
          <w:rFonts w:ascii="Calibri" w:hAnsi="Calibri" w:cs="Arial"/>
          <w:lang w:val="mk-MK"/>
        </w:rPr>
      </w:pPr>
      <w:r w:rsidRPr="00B43F6B">
        <w:rPr>
          <w:rFonts w:ascii="Calibri" w:hAnsi="Calibri" w:cs="Arial"/>
          <w:lang w:val="mk-MK"/>
        </w:rPr>
        <w:t xml:space="preserve">Воспоставување дијалог со колегите од организациите од граѓанскиот сектор, или оние активни на други полиња, а кои имаат специфично знаење/експертиза со додадена вредност за процесот на носење одлуки во </w:t>
      </w:r>
      <w:r w:rsidR="00734A95" w:rsidRPr="00B43F6B">
        <w:rPr>
          <w:rFonts w:ascii="Calibri" w:hAnsi="Calibri" w:cs="Arial"/>
          <w:lang w:val="mk-MK"/>
        </w:rPr>
        <w:t>врска</w:t>
      </w:r>
      <w:r w:rsidRPr="00B43F6B">
        <w:rPr>
          <w:rFonts w:ascii="Calibri" w:hAnsi="Calibri" w:cs="Arial"/>
          <w:lang w:val="mk-MK"/>
        </w:rPr>
        <w:t xml:space="preserve"> со </w:t>
      </w:r>
      <w:r w:rsidR="006A236A">
        <w:rPr>
          <w:rFonts w:ascii="Calibri" w:hAnsi="Calibri" w:cs="Arial"/>
          <w:lang w:val="mk-MK"/>
        </w:rPr>
        <w:t>Оценката за влијание врз животната средина/Стратешка оценка за животната средина</w:t>
      </w:r>
      <w:r w:rsidR="006A236A" w:rsidRPr="00B43F6B">
        <w:rPr>
          <w:rFonts w:ascii="Calibri" w:hAnsi="Calibri" w:cs="Arial"/>
          <w:lang w:val="mk-MK"/>
        </w:rPr>
        <w:t xml:space="preserve"> </w:t>
      </w:r>
      <w:r w:rsidR="006A236A">
        <w:rPr>
          <w:rFonts w:ascii="Calibri" w:hAnsi="Calibri" w:cs="Arial"/>
          <w:lang w:val="mk-MK"/>
        </w:rPr>
        <w:t>(</w:t>
      </w:r>
      <w:r w:rsidR="006A236A" w:rsidRPr="00B43F6B">
        <w:rPr>
          <w:rFonts w:ascii="Calibri" w:hAnsi="Calibri" w:cs="Arial"/>
          <w:lang w:val="mk-MK"/>
        </w:rPr>
        <w:t>EIA/SEA</w:t>
      </w:r>
      <w:r w:rsidR="006A236A">
        <w:rPr>
          <w:rFonts w:ascii="Calibri" w:hAnsi="Calibri" w:cs="Arial"/>
          <w:lang w:val="mk-MK"/>
        </w:rPr>
        <w:t>)</w:t>
      </w:r>
      <w:r w:rsidR="006A236A" w:rsidRPr="00B43F6B">
        <w:rPr>
          <w:rFonts w:ascii="Calibri" w:hAnsi="Calibri" w:cs="Arial"/>
          <w:lang w:val="mk-MK"/>
        </w:rPr>
        <w:t>;</w:t>
      </w:r>
    </w:p>
    <w:p w:rsidR="00F43DE1" w:rsidRPr="00B43F6B" w:rsidRDefault="002C200E" w:rsidP="00F15330">
      <w:pPr>
        <w:numPr>
          <w:ilvl w:val="0"/>
          <w:numId w:val="6"/>
        </w:numPr>
        <w:jc w:val="both"/>
        <w:rPr>
          <w:rFonts w:ascii="Calibri" w:hAnsi="Calibri" w:cs="Arial"/>
          <w:lang w:val="mk-MK"/>
        </w:rPr>
      </w:pPr>
      <w:r w:rsidRPr="00B43F6B">
        <w:rPr>
          <w:rFonts w:ascii="Calibri" w:hAnsi="Calibri" w:cs="Arial"/>
          <w:lang w:val="mk-MK"/>
        </w:rPr>
        <w:t>Соработка со независни експерти</w:t>
      </w:r>
      <w:r w:rsidR="00F43DE1" w:rsidRPr="00B43F6B">
        <w:rPr>
          <w:rFonts w:ascii="Calibri" w:hAnsi="Calibri" w:cs="Arial"/>
          <w:lang w:val="mk-MK"/>
        </w:rPr>
        <w:t>;</w:t>
      </w:r>
    </w:p>
    <w:p w:rsidR="00E63C8F" w:rsidRPr="00B43F6B" w:rsidRDefault="002C200E" w:rsidP="00F15330">
      <w:pPr>
        <w:numPr>
          <w:ilvl w:val="0"/>
          <w:numId w:val="6"/>
        </w:numPr>
        <w:jc w:val="both"/>
        <w:rPr>
          <w:rFonts w:ascii="Calibri" w:hAnsi="Calibri" w:cs="Arial"/>
          <w:lang w:val="mk-MK"/>
        </w:rPr>
      </w:pPr>
      <w:r w:rsidRPr="00B43F6B">
        <w:rPr>
          <w:rFonts w:ascii="Calibri" w:hAnsi="Calibri" w:cs="Arial"/>
          <w:lang w:val="mk-MK"/>
        </w:rPr>
        <w:t>Кампањи за подигнување на јавната свест</w:t>
      </w:r>
      <w:r w:rsidR="00E63C8F" w:rsidRPr="00B43F6B">
        <w:rPr>
          <w:rFonts w:ascii="Calibri" w:hAnsi="Calibri" w:cs="Arial"/>
          <w:lang w:val="mk-MK"/>
        </w:rPr>
        <w:t>;</w:t>
      </w:r>
    </w:p>
    <w:p w:rsidR="00651FCC" w:rsidRPr="00B43F6B" w:rsidRDefault="002C200E" w:rsidP="00E63C8F">
      <w:pPr>
        <w:numPr>
          <w:ilvl w:val="0"/>
          <w:numId w:val="6"/>
        </w:numPr>
        <w:jc w:val="both"/>
        <w:rPr>
          <w:rFonts w:ascii="Calibri" w:hAnsi="Calibri" w:cs="Arial"/>
          <w:lang w:val="mk-MK"/>
        </w:rPr>
      </w:pPr>
      <w:r w:rsidRPr="00B43F6B">
        <w:rPr>
          <w:rFonts w:ascii="Calibri" w:hAnsi="Calibri" w:cs="Arial"/>
          <w:lang w:val="mk-MK"/>
        </w:rPr>
        <w:t xml:space="preserve">Изработка на стратегии за локален развој. </w:t>
      </w:r>
    </w:p>
    <w:p w:rsidR="002C200E" w:rsidRPr="00B43F6B" w:rsidRDefault="002C200E" w:rsidP="001F7557">
      <w:pPr>
        <w:jc w:val="both"/>
        <w:rPr>
          <w:rFonts w:ascii="Calibri" w:hAnsi="Calibri"/>
          <w:lang w:val="mk-MK"/>
        </w:rPr>
      </w:pPr>
      <w:r w:rsidRPr="00B43F6B">
        <w:rPr>
          <w:rFonts w:ascii="Calibri" w:hAnsi="Calibri"/>
          <w:lang w:val="mk-MK"/>
        </w:rPr>
        <w:t xml:space="preserve">Ве молиме внимавајте дека целокупното трошење во рамките на Програмата е ослободено од ДДВ, па така буџетирањето на трошоците оди без ДДВ. </w:t>
      </w:r>
    </w:p>
    <w:p w:rsidR="0084636A" w:rsidRPr="00B43F6B" w:rsidRDefault="0084636A" w:rsidP="001F7557">
      <w:pPr>
        <w:jc w:val="both"/>
        <w:rPr>
          <w:rFonts w:ascii="Calibri" w:hAnsi="Calibri"/>
          <w:lang w:val="mk-MK"/>
        </w:rPr>
      </w:pPr>
    </w:p>
    <w:p w:rsidR="00106E1C" w:rsidRPr="00B43F6B" w:rsidRDefault="002C200E" w:rsidP="00866555">
      <w:pPr>
        <w:pStyle w:val="Heading3"/>
        <w:spacing w:before="120" w:after="120"/>
        <w:ind w:left="1440"/>
        <w:rPr>
          <w:color w:val="365F91" w:themeColor="accent1" w:themeShade="BF"/>
          <w:sz w:val="26"/>
          <w:szCs w:val="26"/>
          <w:lang w:val="mk-MK"/>
        </w:rPr>
      </w:pPr>
      <w:bookmarkStart w:id="16" w:name="_Toc498020894"/>
      <w:r w:rsidRPr="00B43F6B">
        <w:rPr>
          <w:color w:val="365F91" w:themeColor="accent1" w:themeShade="BF"/>
          <w:sz w:val="26"/>
          <w:szCs w:val="26"/>
          <w:lang w:val="mk-MK"/>
        </w:rPr>
        <w:t xml:space="preserve">Акции што не се подобни за </w:t>
      </w:r>
      <w:bookmarkEnd w:id="16"/>
      <w:r w:rsidR="00734A95" w:rsidRPr="00B43F6B">
        <w:rPr>
          <w:color w:val="365F91" w:themeColor="accent1" w:themeShade="BF"/>
          <w:sz w:val="26"/>
          <w:szCs w:val="26"/>
          <w:lang w:val="mk-MK"/>
        </w:rPr>
        <w:t>финансирање</w:t>
      </w:r>
      <w:r w:rsidRPr="00B43F6B">
        <w:rPr>
          <w:color w:val="365F91" w:themeColor="accent1" w:themeShade="BF"/>
          <w:sz w:val="26"/>
          <w:szCs w:val="26"/>
          <w:lang w:val="mk-MK"/>
        </w:rPr>
        <w:t xml:space="preserve"> </w:t>
      </w:r>
    </w:p>
    <w:p w:rsidR="00DB06DA" w:rsidRPr="00B43F6B" w:rsidRDefault="002C200E" w:rsidP="00B71916">
      <w:pPr>
        <w:spacing w:after="120"/>
        <w:jc w:val="both"/>
        <w:rPr>
          <w:rFonts w:ascii="Calibri" w:hAnsi="Calibri"/>
          <w:lang w:val="mk-MK"/>
        </w:rPr>
      </w:pPr>
      <w:r w:rsidRPr="00B43F6B">
        <w:rPr>
          <w:rFonts w:ascii="Calibri" w:hAnsi="Calibri"/>
          <w:lang w:val="mk-MK"/>
        </w:rPr>
        <w:t>Следните акции нема да се финансираа преку грантовата програма</w:t>
      </w:r>
      <w:r w:rsidR="00AA7217" w:rsidRPr="00B43F6B">
        <w:rPr>
          <w:rFonts w:ascii="Calibri" w:hAnsi="Calibri"/>
          <w:lang w:val="mk-MK"/>
        </w:rPr>
        <w:t>:</w:t>
      </w:r>
    </w:p>
    <w:p w:rsidR="00876041" w:rsidRPr="00B43F6B" w:rsidRDefault="00876041"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 xml:space="preserve">Проекти поврзани само или главно со индивидуални спонзорства за учество на работилници, семинари, конференции и конгреси; </w:t>
      </w:r>
    </w:p>
    <w:p w:rsidR="00876041" w:rsidRPr="00B43F6B" w:rsidRDefault="00876041"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 xml:space="preserve">Проекти поврзани само или главно со индивидуални стипендии за студии или обука, курсеви; </w:t>
      </w:r>
    </w:p>
    <w:p w:rsidR="00876041" w:rsidRPr="00B43F6B" w:rsidRDefault="00876041"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 xml:space="preserve">Проекти поврзани само или главно со индивидуални еднократни конференции и слични настани; </w:t>
      </w:r>
    </w:p>
    <w:p w:rsidR="00876041" w:rsidRPr="00B43F6B" w:rsidRDefault="00876041"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 xml:space="preserve">Проекти поврзани само или главно со индивидуални со академски истражувања и/или физибилити студии; </w:t>
      </w:r>
    </w:p>
    <w:p w:rsidR="00876041" w:rsidRPr="00B43F6B" w:rsidRDefault="00876041"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 xml:space="preserve">Активности поврзани со политичките партии или од политичка/партиска природа; </w:t>
      </w:r>
    </w:p>
    <w:p w:rsidR="00876041" w:rsidRPr="00B43F6B" w:rsidRDefault="00876041"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 xml:space="preserve">Активности што потпаѓаат под општите активности на надлежните државни институции или државата; </w:t>
      </w:r>
    </w:p>
    <w:p w:rsidR="00876041" w:rsidRPr="00B43F6B" w:rsidRDefault="00876041"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 xml:space="preserve">Административни услуги, вклучително и локална власт; </w:t>
      </w:r>
    </w:p>
    <w:p w:rsidR="00252B37" w:rsidRPr="00B43F6B" w:rsidRDefault="00876041"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Активности поврзани со тутунската индустрија (</w:t>
      </w:r>
      <w:r w:rsidR="00AE299D">
        <w:rPr>
          <w:rFonts w:ascii="Calibri" w:hAnsi="Calibri" w:cs="Times New Roman"/>
          <w:lang w:val="mk-MK"/>
        </w:rPr>
        <w:t xml:space="preserve">кодекс </w:t>
      </w:r>
      <w:r w:rsidR="00252B37" w:rsidRPr="00B43F6B">
        <w:rPr>
          <w:rFonts w:ascii="Calibri" w:hAnsi="Calibri" w:cs="Times New Roman"/>
          <w:lang w:val="mk-MK"/>
        </w:rPr>
        <w:t>CAEN</w:t>
      </w:r>
      <w:r w:rsidR="00AE299D">
        <w:rPr>
          <w:rStyle w:val="FootnoteReference"/>
          <w:lang w:val="mk-MK"/>
        </w:rPr>
        <w:footnoteReference w:id="2"/>
      </w:r>
      <w:r w:rsidR="00252B37" w:rsidRPr="00B43F6B">
        <w:rPr>
          <w:rFonts w:ascii="Calibri" w:hAnsi="Calibri" w:cs="Times New Roman"/>
          <w:lang w:val="mk-MK"/>
        </w:rPr>
        <w:t xml:space="preserve"> 16); </w:t>
      </w:r>
      <w:r w:rsidRPr="00B43F6B">
        <w:rPr>
          <w:rFonts w:ascii="Calibri" w:hAnsi="Calibri" w:cs="Times New Roman"/>
          <w:lang w:val="mk-MK"/>
        </w:rPr>
        <w:t xml:space="preserve">производство на алкохолни дестилирани производи </w:t>
      </w:r>
      <w:r w:rsidR="00252B37" w:rsidRPr="00B43F6B">
        <w:rPr>
          <w:rFonts w:ascii="Calibri" w:hAnsi="Calibri" w:cs="Times New Roman"/>
          <w:lang w:val="mk-MK"/>
        </w:rPr>
        <w:t>(</w:t>
      </w:r>
      <w:r w:rsidR="00AE299D">
        <w:rPr>
          <w:rFonts w:ascii="Calibri" w:hAnsi="Calibri" w:cs="Times New Roman"/>
          <w:lang w:val="mk-MK"/>
        </w:rPr>
        <w:t xml:space="preserve">кодекс </w:t>
      </w:r>
      <w:r w:rsidR="00252B37" w:rsidRPr="00B43F6B">
        <w:rPr>
          <w:rFonts w:ascii="Calibri" w:hAnsi="Calibri" w:cs="Times New Roman"/>
          <w:lang w:val="mk-MK"/>
        </w:rPr>
        <w:t xml:space="preserve">CAEN 1591) </w:t>
      </w:r>
      <w:r w:rsidRPr="00B43F6B">
        <w:rPr>
          <w:rFonts w:ascii="Calibri" w:hAnsi="Calibri" w:cs="Times New Roman"/>
          <w:lang w:val="mk-MK"/>
        </w:rPr>
        <w:t>и оружје и муниција (</w:t>
      </w:r>
      <w:r w:rsidR="00AE299D">
        <w:rPr>
          <w:rFonts w:ascii="Calibri" w:hAnsi="Calibri" w:cs="Times New Roman"/>
          <w:lang w:val="mk-MK"/>
        </w:rPr>
        <w:t xml:space="preserve">кодекс </w:t>
      </w:r>
      <w:r w:rsidRPr="00B43F6B">
        <w:rPr>
          <w:rFonts w:ascii="Calibri" w:hAnsi="Calibri" w:cs="Times New Roman"/>
          <w:lang w:val="mk-MK"/>
        </w:rPr>
        <w:t xml:space="preserve">CAEN 296); </w:t>
      </w:r>
    </w:p>
    <w:p w:rsidR="00252B37" w:rsidRPr="00B43F6B" w:rsidRDefault="00876041"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 xml:space="preserve">Кредити за трети стани; </w:t>
      </w:r>
    </w:p>
    <w:p w:rsidR="00252B37" w:rsidRPr="00B43F6B" w:rsidRDefault="007C6043"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Долгови и услуги за наплата на долгови (камата</w:t>
      </w:r>
      <w:r w:rsidR="00252B37" w:rsidRPr="00B43F6B">
        <w:rPr>
          <w:rFonts w:ascii="Calibri" w:hAnsi="Calibri" w:cs="Times New Roman"/>
          <w:lang w:val="mk-MK"/>
        </w:rPr>
        <w:t>);</w:t>
      </w:r>
    </w:p>
    <w:p w:rsidR="00252B37" w:rsidRPr="00B43F6B" w:rsidRDefault="007C6043"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lastRenderedPageBreak/>
        <w:t>Провизии за загуби или потенцијални идни долгови</w:t>
      </w:r>
      <w:r w:rsidR="00252B37" w:rsidRPr="00B43F6B">
        <w:rPr>
          <w:rFonts w:ascii="Calibri" w:hAnsi="Calibri" w:cs="Times New Roman"/>
          <w:lang w:val="mk-MK"/>
        </w:rPr>
        <w:t>;</w:t>
      </w:r>
    </w:p>
    <w:p w:rsidR="007C6043" w:rsidRPr="00B43F6B" w:rsidRDefault="007C6043"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 xml:space="preserve">Трошоци пријавени од страна на корисникот (корисниците), финансирани преку друга акција или работа </w:t>
      </w:r>
    </w:p>
    <w:p w:rsidR="00252B37" w:rsidRPr="00B43F6B" w:rsidRDefault="007C6043"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Програма што добива грант од Унијата (вклучително и преку Европскиот развоен фонд)</w:t>
      </w:r>
      <w:r w:rsidR="00252B37" w:rsidRPr="00B43F6B">
        <w:rPr>
          <w:rFonts w:ascii="Calibri" w:hAnsi="Calibri" w:cs="Times New Roman"/>
          <w:lang w:val="mk-MK"/>
        </w:rPr>
        <w:t>;</w:t>
      </w:r>
    </w:p>
    <w:p w:rsidR="00252B37" w:rsidRPr="00B43F6B" w:rsidRDefault="007C6043"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Купување земјиште или градби</w:t>
      </w:r>
      <w:r w:rsidR="00252B37" w:rsidRPr="00B43F6B">
        <w:rPr>
          <w:rFonts w:ascii="Calibri" w:hAnsi="Calibri" w:cs="Times New Roman"/>
          <w:lang w:val="mk-MK"/>
        </w:rPr>
        <w:t>;</w:t>
      </w:r>
    </w:p>
    <w:p w:rsidR="00252B37" w:rsidRPr="00B43F6B" w:rsidRDefault="007C6043"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Загуби при размена на девизи</w:t>
      </w:r>
      <w:r w:rsidR="00252B37" w:rsidRPr="00B43F6B">
        <w:rPr>
          <w:rFonts w:ascii="Calibri" w:hAnsi="Calibri" w:cs="Times New Roman"/>
          <w:lang w:val="mk-MK"/>
        </w:rPr>
        <w:t>;</w:t>
      </w:r>
    </w:p>
    <w:p w:rsidR="00252B37" w:rsidRPr="00B43F6B" w:rsidRDefault="007C6043" w:rsidP="00B71916">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Кредити за трети страни</w:t>
      </w:r>
      <w:r w:rsidR="00B71916" w:rsidRPr="00B43F6B">
        <w:rPr>
          <w:rFonts w:ascii="Calibri" w:hAnsi="Calibri" w:cs="Times New Roman"/>
          <w:lang w:val="mk-MK"/>
        </w:rPr>
        <w:t>.</w:t>
      </w:r>
    </w:p>
    <w:p w:rsidR="00B71916" w:rsidRPr="00B43F6B" w:rsidRDefault="007C6043" w:rsidP="00B71916">
      <w:pPr>
        <w:autoSpaceDE w:val="0"/>
        <w:autoSpaceDN w:val="0"/>
        <w:adjustRightInd w:val="0"/>
        <w:spacing w:before="60" w:after="60"/>
        <w:rPr>
          <w:rFonts w:asciiTheme="majorHAnsi" w:hAnsiTheme="majorHAnsi" w:cstheme="majorHAnsi"/>
          <w:b/>
          <w:bCs/>
          <w:sz w:val="23"/>
          <w:szCs w:val="23"/>
          <w:lang w:val="mk-MK"/>
        </w:rPr>
      </w:pPr>
      <w:r w:rsidRPr="00B43F6B">
        <w:rPr>
          <w:rFonts w:asciiTheme="majorHAnsi" w:hAnsiTheme="majorHAnsi" w:cstheme="majorHAnsi"/>
          <w:b/>
          <w:bCs/>
          <w:sz w:val="23"/>
          <w:szCs w:val="23"/>
          <w:lang w:val="mk-MK"/>
        </w:rPr>
        <w:t xml:space="preserve">Придонеси во натура </w:t>
      </w:r>
    </w:p>
    <w:p w:rsidR="003D222A" w:rsidRPr="00B43F6B" w:rsidRDefault="003D222A" w:rsidP="00B71916">
      <w:pPr>
        <w:spacing w:after="120"/>
        <w:jc w:val="both"/>
        <w:rPr>
          <w:rFonts w:ascii="Calibri" w:hAnsi="Calibri" w:cs="Times New Roman"/>
          <w:lang w:val="mk-MK"/>
        </w:rPr>
      </w:pPr>
      <w:r w:rsidRPr="00B43F6B">
        <w:rPr>
          <w:rFonts w:ascii="Calibri" w:hAnsi="Calibri" w:cs="Times New Roman"/>
          <w:lang w:val="mk-MK"/>
        </w:rPr>
        <w:t xml:space="preserve">Придонеси во натура значи обезбедување стоки или услуги за корисник (корисници) или поврзани субјекти, бесплатно, од страна на трета страна. Бидејќи придонесите во натура не вклучуваат расходи за корисникот или поврзаниот субјект, тие не се подобни трошоци. Придонесите во  натура не може да се сметаат за кофинансирање. </w:t>
      </w:r>
    </w:p>
    <w:p w:rsidR="00AD1A43" w:rsidRPr="00B43F6B" w:rsidRDefault="003D222A" w:rsidP="00AD1A43">
      <w:pPr>
        <w:rPr>
          <w:rFonts w:asciiTheme="majorHAnsi" w:hAnsiTheme="majorHAnsi" w:cstheme="majorHAnsi"/>
          <w:u w:val="single"/>
          <w:lang w:val="mk-MK"/>
        </w:rPr>
      </w:pPr>
      <w:r w:rsidRPr="00B43F6B">
        <w:rPr>
          <w:rFonts w:ascii="Calibri" w:hAnsi="Calibri" w:cs="Times New Roman"/>
          <w:u w:val="single"/>
          <w:lang w:val="mk-MK"/>
        </w:rPr>
        <w:t>Неподобни трошоци</w:t>
      </w:r>
      <w:r w:rsidRPr="00B43F6B">
        <w:rPr>
          <w:rFonts w:ascii="Calibri" w:hAnsi="Calibri" w:cs="Times New Roman"/>
          <w:lang w:val="mk-MK"/>
        </w:rPr>
        <w:t xml:space="preserve"> </w:t>
      </w:r>
    </w:p>
    <w:p w:rsidR="00AD1A43" w:rsidRPr="00B43F6B" w:rsidRDefault="003D222A" w:rsidP="00AD1A43">
      <w:pPr>
        <w:rPr>
          <w:rFonts w:asciiTheme="majorHAnsi" w:hAnsiTheme="majorHAnsi" w:cstheme="majorHAnsi"/>
          <w:lang w:val="mk-MK"/>
        </w:rPr>
      </w:pPr>
      <w:r w:rsidRPr="00B43F6B">
        <w:rPr>
          <w:rFonts w:asciiTheme="majorHAnsi" w:hAnsiTheme="majorHAnsi" w:cstheme="majorHAnsi"/>
          <w:lang w:val="mk-MK"/>
        </w:rPr>
        <w:t>Следните трошоци не се подобни</w:t>
      </w:r>
      <w:r w:rsidR="00AD1A43" w:rsidRPr="00B43F6B">
        <w:rPr>
          <w:rFonts w:asciiTheme="majorHAnsi" w:hAnsiTheme="majorHAnsi" w:cstheme="majorHAnsi"/>
          <w:lang w:val="mk-MK"/>
        </w:rPr>
        <w:t>:</w:t>
      </w:r>
    </w:p>
    <w:p w:rsidR="003D222A" w:rsidRPr="00B43F6B" w:rsidRDefault="003D222A" w:rsidP="003D222A">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Долгови и услуги за наплата на долгови (камата);</w:t>
      </w:r>
    </w:p>
    <w:p w:rsidR="003D222A" w:rsidRPr="00B43F6B" w:rsidRDefault="003D222A" w:rsidP="003D222A">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Провизии за загуби или потенцијални идни долгови;</w:t>
      </w:r>
    </w:p>
    <w:p w:rsidR="003D222A" w:rsidRPr="00B43F6B" w:rsidRDefault="003D222A" w:rsidP="003D222A">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 xml:space="preserve">Трошоци пријавени од страна на корисникот (корисниците), финансирани преку друга акција или работа </w:t>
      </w:r>
    </w:p>
    <w:p w:rsidR="003D222A" w:rsidRPr="00B43F6B" w:rsidRDefault="003D222A" w:rsidP="003D222A">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Програма што добива грант од Унијата (вклучително и преку Европскиот развоен фонд);</w:t>
      </w:r>
    </w:p>
    <w:p w:rsidR="003D222A" w:rsidRPr="00B43F6B" w:rsidRDefault="003D222A" w:rsidP="003D222A">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Купување земјиште или градби;</w:t>
      </w:r>
    </w:p>
    <w:p w:rsidR="003D222A" w:rsidRPr="00B43F6B" w:rsidRDefault="003D222A" w:rsidP="003D222A">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Загуби при размена на девизи;</w:t>
      </w:r>
    </w:p>
    <w:p w:rsidR="003D222A" w:rsidRPr="00B43F6B" w:rsidRDefault="003D222A" w:rsidP="003D222A">
      <w:pPr>
        <w:pStyle w:val="ListParagraph"/>
        <w:numPr>
          <w:ilvl w:val="0"/>
          <w:numId w:val="7"/>
        </w:numPr>
        <w:spacing w:after="120"/>
        <w:jc w:val="both"/>
        <w:rPr>
          <w:rFonts w:ascii="Calibri" w:hAnsi="Calibri" w:cs="Times New Roman"/>
          <w:lang w:val="mk-MK"/>
        </w:rPr>
      </w:pPr>
      <w:r w:rsidRPr="00B43F6B">
        <w:rPr>
          <w:rFonts w:ascii="Calibri" w:hAnsi="Calibri" w:cs="Times New Roman"/>
          <w:lang w:val="mk-MK"/>
        </w:rPr>
        <w:t>Кредити за трети страни.</w:t>
      </w:r>
    </w:p>
    <w:p w:rsidR="00402F26" w:rsidRPr="00B43F6B" w:rsidRDefault="00496727" w:rsidP="0008690C">
      <w:pPr>
        <w:pStyle w:val="Heading2"/>
        <w:spacing w:before="240" w:after="240"/>
        <w:ind w:left="936"/>
        <w:rPr>
          <w:color w:val="365F91" w:themeColor="accent1" w:themeShade="BF"/>
          <w:lang w:val="mk-MK"/>
        </w:rPr>
      </w:pPr>
      <w:bookmarkStart w:id="17" w:name="_Toc498020895"/>
      <w:r w:rsidRPr="00B43F6B">
        <w:rPr>
          <w:color w:val="365F91" w:themeColor="accent1" w:themeShade="BF"/>
          <w:lang w:val="mk-MK"/>
        </w:rPr>
        <w:t>Тип и износ на грантот</w:t>
      </w:r>
      <w:bookmarkEnd w:id="17"/>
      <w:r w:rsidRPr="00B43F6B">
        <w:rPr>
          <w:color w:val="365F91" w:themeColor="accent1" w:themeShade="BF"/>
          <w:lang w:val="mk-MK"/>
        </w:rPr>
        <w:t xml:space="preserve"> </w:t>
      </w:r>
    </w:p>
    <w:p w:rsidR="006712FB" w:rsidRPr="00B43F6B" w:rsidRDefault="006712FB" w:rsidP="003B5216">
      <w:pPr>
        <w:spacing w:after="120"/>
        <w:jc w:val="both"/>
        <w:rPr>
          <w:rFonts w:asciiTheme="majorHAnsi" w:hAnsiTheme="majorHAnsi"/>
          <w:lang w:val="mk-MK"/>
        </w:rPr>
      </w:pPr>
      <w:r w:rsidRPr="00B43F6B">
        <w:rPr>
          <w:rFonts w:asciiTheme="majorHAnsi" w:hAnsiTheme="majorHAnsi" w:cstheme="majorHAnsi"/>
          <w:lang w:val="mk-MK"/>
        </w:rPr>
        <w:t xml:space="preserve">Грантот за </w:t>
      </w:r>
      <w:r w:rsidRPr="00B43F6B">
        <w:rPr>
          <w:rFonts w:asciiTheme="majorHAnsi" w:hAnsiTheme="majorHAnsi"/>
          <w:lang w:val="mk-MK"/>
        </w:rPr>
        <w:t xml:space="preserve">изградба на капацитетите и застапување во рамките на граѓанското општество ќе се додели со </w:t>
      </w:r>
      <w:r w:rsidRPr="00B43F6B">
        <w:rPr>
          <w:rFonts w:asciiTheme="majorHAnsi" w:hAnsiTheme="majorHAnsi"/>
          <w:b/>
          <w:lang w:val="mk-MK"/>
        </w:rPr>
        <w:t>вкупно</w:t>
      </w:r>
      <w:r w:rsidRPr="00B43F6B">
        <w:rPr>
          <w:rFonts w:asciiTheme="majorHAnsi" w:hAnsiTheme="majorHAnsi"/>
          <w:lang w:val="mk-MK"/>
        </w:rPr>
        <w:t xml:space="preserve"> </w:t>
      </w:r>
      <w:r w:rsidRPr="00B43F6B">
        <w:rPr>
          <w:rFonts w:ascii="Calibri" w:hAnsi="Calibri"/>
          <w:b/>
          <w:lang w:val="mk-MK"/>
        </w:rPr>
        <w:t xml:space="preserve">234,990 евра во седум земји. </w:t>
      </w:r>
      <w:r w:rsidRPr="00B43F6B">
        <w:rPr>
          <w:rFonts w:ascii="Calibri" w:hAnsi="Calibri"/>
          <w:lang w:val="mk-MK"/>
        </w:rPr>
        <w:t>Најмалку</w:t>
      </w:r>
      <w:r w:rsidRPr="00B43F6B">
        <w:rPr>
          <w:rFonts w:ascii="Calibri" w:hAnsi="Calibri"/>
          <w:b/>
          <w:lang w:val="mk-MK"/>
        </w:rPr>
        <w:t xml:space="preserve"> 14 апликанти </w:t>
      </w:r>
      <w:r w:rsidRPr="00B43F6B">
        <w:rPr>
          <w:rFonts w:ascii="Calibri" w:hAnsi="Calibri"/>
          <w:lang w:val="mk-MK"/>
        </w:rPr>
        <w:t xml:space="preserve">ќе добијат средства од грантот во  </w:t>
      </w:r>
      <w:r w:rsidRPr="00B43F6B">
        <w:rPr>
          <w:rFonts w:asciiTheme="majorHAnsi" w:hAnsiTheme="majorHAnsi" w:cstheme="majorHAnsi"/>
          <w:lang w:val="mk-MK"/>
        </w:rPr>
        <w:t>Албанија, Босна и Херцеговина, Македонија, Црна Гора, Косово*, Србија, Турција,</w:t>
      </w:r>
      <w:r w:rsidR="000126D6" w:rsidRPr="00B43F6B">
        <w:rPr>
          <w:rFonts w:asciiTheme="majorHAnsi" w:hAnsiTheme="majorHAnsi" w:cstheme="majorHAnsi"/>
          <w:lang w:val="mk-MK"/>
        </w:rPr>
        <w:t xml:space="preserve"> па оттаму, апликациите ќе бидат оценети на национално и меѓународно ниво. Најмалку два апликанти од секоја земја ќе добијат средства од грантот. </w:t>
      </w:r>
    </w:p>
    <w:p w:rsidR="00DB06DA" w:rsidRPr="00B43F6B" w:rsidRDefault="000126D6" w:rsidP="003B5216">
      <w:pPr>
        <w:spacing w:after="120"/>
        <w:jc w:val="both"/>
        <w:rPr>
          <w:rFonts w:ascii="Calibri" w:hAnsi="Calibri"/>
          <w:lang w:val="mk-MK"/>
        </w:rPr>
      </w:pPr>
      <w:r w:rsidRPr="00B43F6B">
        <w:rPr>
          <w:rFonts w:ascii="Calibri" w:hAnsi="Calibri"/>
          <w:lang w:val="mk-MK"/>
        </w:rPr>
        <w:t xml:space="preserve">Од страна на Акцијата ќе се доделат само финансиски </w:t>
      </w:r>
      <w:r w:rsidR="00AE299D" w:rsidRPr="00B43F6B">
        <w:rPr>
          <w:rFonts w:ascii="Calibri" w:hAnsi="Calibri"/>
          <w:lang w:val="mk-MK"/>
        </w:rPr>
        <w:t>средства</w:t>
      </w:r>
      <w:r w:rsidRPr="00B43F6B">
        <w:rPr>
          <w:rFonts w:ascii="Calibri" w:hAnsi="Calibri"/>
          <w:lang w:val="mk-MK"/>
        </w:rPr>
        <w:t xml:space="preserve">; </w:t>
      </w:r>
      <w:r w:rsidR="00AE299D" w:rsidRPr="00D66B3F">
        <w:rPr>
          <w:rFonts w:ascii="Calibri" w:hAnsi="Calibri"/>
          <w:lang w:val="mk-MK"/>
        </w:rPr>
        <w:t>апликантите</w:t>
      </w:r>
      <w:r w:rsidRPr="00D66B3F">
        <w:rPr>
          <w:rFonts w:ascii="Calibri" w:hAnsi="Calibri"/>
          <w:lang w:val="mk-MK"/>
        </w:rPr>
        <w:t xml:space="preserve"> ќе бидат одговорни за буџетирањето и </w:t>
      </w:r>
      <w:r w:rsidR="00AE299D" w:rsidRPr="00D66B3F">
        <w:rPr>
          <w:rFonts w:ascii="Calibri" w:hAnsi="Calibri"/>
          <w:lang w:val="mk-MK"/>
        </w:rPr>
        <w:t>организацијата</w:t>
      </w:r>
      <w:r w:rsidRPr="00D66B3F">
        <w:rPr>
          <w:rFonts w:ascii="Calibri" w:hAnsi="Calibri"/>
          <w:lang w:val="mk-MK"/>
        </w:rPr>
        <w:t xml:space="preserve"> на патувањата и сместувањето за обврзните настани за изградба на капацитетот наведени под точка </w:t>
      </w:r>
      <w:r w:rsidRPr="00D66B3F">
        <w:rPr>
          <w:rFonts w:ascii="Calibri" w:hAnsi="Calibri"/>
          <w:i/>
          <w:lang w:val="mk-MK"/>
        </w:rPr>
        <w:t>2.4. Подобност</w:t>
      </w:r>
      <w:r w:rsidRPr="00D66B3F">
        <w:rPr>
          <w:rFonts w:ascii="Calibri" w:hAnsi="Calibri"/>
          <w:lang w:val="mk-MK"/>
        </w:rPr>
        <w:t>.</w:t>
      </w:r>
      <w:r w:rsidRPr="00B43F6B">
        <w:rPr>
          <w:rFonts w:ascii="Calibri" w:hAnsi="Calibri"/>
          <w:lang w:val="mk-MK"/>
        </w:rPr>
        <w:t xml:space="preserve"> </w:t>
      </w:r>
    </w:p>
    <w:p w:rsidR="007A143F" w:rsidRPr="00B43F6B" w:rsidRDefault="007A143F" w:rsidP="003B5216">
      <w:pPr>
        <w:spacing w:after="120"/>
        <w:jc w:val="both"/>
        <w:rPr>
          <w:rFonts w:ascii="Calibri" w:hAnsi="Calibri"/>
          <w:lang w:val="mk-MK"/>
        </w:rPr>
      </w:pPr>
      <w:r w:rsidRPr="00B43F6B">
        <w:rPr>
          <w:rFonts w:ascii="Calibri" w:hAnsi="Calibri"/>
          <w:lang w:val="mk-MK"/>
        </w:rPr>
        <w:t xml:space="preserve">Средствата од грантот ќе се пренесат во локалната валута и ќе го покријат </w:t>
      </w:r>
      <w:r w:rsidR="00AE299D" w:rsidRPr="00B43F6B">
        <w:rPr>
          <w:rFonts w:ascii="Calibri" w:hAnsi="Calibri"/>
          <w:lang w:val="mk-MK"/>
        </w:rPr>
        <w:t>целокупниот</w:t>
      </w:r>
      <w:r w:rsidRPr="00B43F6B">
        <w:rPr>
          <w:rFonts w:ascii="Calibri" w:hAnsi="Calibri"/>
          <w:lang w:val="mk-MK"/>
        </w:rPr>
        <w:t xml:space="preserve"> поднесен буџет </w:t>
      </w:r>
      <w:r w:rsidR="00B41EDA" w:rsidRPr="00B43F6B">
        <w:rPr>
          <w:rFonts w:ascii="Calibri" w:hAnsi="Calibri"/>
          <w:lang w:val="mk-MK"/>
        </w:rPr>
        <w:t xml:space="preserve">во рамките на достапните средства. Апликантите треба да обезбедат буџет во валута Евро. </w:t>
      </w:r>
    </w:p>
    <w:p w:rsidR="00DB06DA" w:rsidRPr="00B43F6B" w:rsidRDefault="00DB06DA" w:rsidP="003B5216">
      <w:pPr>
        <w:spacing w:after="120"/>
        <w:jc w:val="both"/>
        <w:rPr>
          <w:rFonts w:ascii="Calibri" w:hAnsi="Calibri"/>
          <w:lang w:val="mk-MK"/>
        </w:rPr>
      </w:pPr>
    </w:p>
    <w:p w:rsidR="00402F26" w:rsidRPr="00B43F6B" w:rsidRDefault="00B41EDA" w:rsidP="0008690C">
      <w:pPr>
        <w:pStyle w:val="Heading2"/>
        <w:spacing w:before="240" w:after="240"/>
        <w:ind w:left="936"/>
        <w:rPr>
          <w:color w:val="365F91" w:themeColor="accent1" w:themeShade="BF"/>
          <w:lang w:val="mk-MK"/>
        </w:rPr>
      </w:pPr>
      <w:bookmarkStart w:id="18" w:name="_Toc498020896"/>
      <w:r w:rsidRPr="00B43F6B">
        <w:rPr>
          <w:color w:val="365F91" w:themeColor="accent1" w:themeShade="BF"/>
          <w:lang w:val="mk-MK"/>
        </w:rPr>
        <w:t>Географски опфат</w:t>
      </w:r>
      <w:bookmarkEnd w:id="18"/>
      <w:r w:rsidRPr="00B43F6B">
        <w:rPr>
          <w:color w:val="365F91" w:themeColor="accent1" w:themeShade="BF"/>
          <w:lang w:val="mk-MK"/>
        </w:rPr>
        <w:t xml:space="preserve"> </w:t>
      </w:r>
    </w:p>
    <w:p w:rsidR="00DB06DA" w:rsidRPr="00B43F6B" w:rsidRDefault="004B41DE" w:rsidP="001F7557">
      <w:pPr>
        <w:jc w:val="both"/>
        <w:rPr>
          <w:rFonts w:ascii="Calibri" w:hAnsi="Calibri" w:cs="Arial"/>
          <w:lang w:val="mk-MK"/>
        </w:rPr>
      </w:pPr>
      <w:r w:rsidRPr="00B43F6B">
        <w:rPr>
          <w:rFonts w:ascii="Calibri" w:hAnsi="Calibri"/>
          <w:lang w:val="mk-MK"/>
        </w:rPr>
        <w:t xml:space="preserve">Проектот може да се спроведувал локално, национално или регионално во рамките на </w:t>
      </w:r>
      <w:r w:rsidRPr="00B43F6B">
        <w:rPr>
          <w:rFonts w:asciiTheme="majorHAnsi" w:hAnsiTheme="majorHAnsi" w:cstheme="majorHAnsi"/>
          <w:lang w:val="mk-MK"/>
        </w:rPr>
        <w:t>Албанија, Босна и Херцеговина, Македонија, Црна Гора, Косово*, Србија и Турција.</w:t>
      </w:r>
      <w:r w:rsidR="00FC7A1F" w:rsidRPr="00B43F6B">
        <w:rPr>
          <w:rFonts w:ascii="Calibri" w:hAnsi="Calibri" w:cs="Arial"/>
          <w:lang w:val="mk-MK"/>
        </w:rPr>
        <w:t>.</w:t>
      </w:r>
      <w:r w:rsidR="00F43DE1" w:rsidRPr="00B43F6B">
        <w:rPr>
          <w:rFonts w:ascii="Calibri" w:hAnsi="Calibri" w:cs="Arial"/>
          <w:lang w:val="mk-MK"/>
        </w:rPr>
        <w:t xml:space="preserve"> </w:t>
      </w:r>
    </w:p>
    <w:p w:rsidR="00402F26" w:rsidRPr="00B43F6B" w:rsidRDefault="004B41DE" w:rsidP="0008690C">
      <w:pPr>
        <w:pStyle w:val="Heading2"/>
        <w:spacing w:before="240" w:after="240"/>
        <w:ind w:left="936"/>
        <w:rPr>
          <w:color w:val="365F91" w:themeColor="accent1" w:themeShade="BF"/>
          <w:lang w:val="mk-MK"/>
        </w:rPr>
      </w:pPr>
      <w:bookmarkStart w:id="19" w:name="_Toc498020897"/>
      <w:r w:rsidRPr="00B43F6B">
        <w:rPr>
          <w:color w:val="365F91" w:themeColor="accent1" w:themeShade="BF"/>
          <w:lang w:val="mk-MK"/>
        </w:rPr>
        <w:t>Временска динамика на грантот</w:t>
      </w:r>
      <w:bookmarkEnd w:id="19"/>
      <w:r w:rsidRPr="00B43F6B">
        <w:rPr>
          <w:color w:val="365F91" w:themeColor="accent1" w:themeShade="BF"/>
          <w:lang w:val="mk-MK"/>
        </w:rPr>
        <w:t xml:space="preserve"> </w:t>
      </w:r>
    </w:p>
    <w:p w:rsidR="000F7808" w:rsidRPr="00B43F6B" w:rsidRDefault="004B41DE" w:rsidP="004B41DE">
      <w:pPr>
        <w:jc w:val="both"/>
        <w:rPr>
          <w:rFonts w:ascii="Calibri" w:hAnsi="Calibri"/>
          <w:lang w:val="mk-MK"/>
        </w:rPr>
      </w:pPr>
      <w:r w:rsidRPr="00B43F6B">
        <w:rPr>
          <w:rFonts w:ascii="Calibri" w:hAnsi="Calibri"/>
          <w:lang w:val="mk-MK"/>
        </w:rPr>
        <w:t xml:space="preserve">Проектите на кои ќе им се додели грант треба да се спроведуваат помеѓу </w:t>
      </w:r>
      <w:r w:rsidR="00DB06DA" w:rsidRPr="004B4FC8">
        <w:rPr>
          <w:rFonts w:ascii="Calibri" w:hAnsi="Calibri"/>
          <w:lang w:val="mk-MK"/>
        </w:rPr>
        <w:t>1</w:t>
      </w:r>
      <w:r w:rsidRPr="004B4FC8">
        <w:rPr>
          <w:rFonts w:ascii="Calibri" w:hAnsi="Calibri"/>
          <w:lang w:val="mk-MK"/>
        </w:rPr>
        <w:t xml:space="preserve"> </w:t>
      </w:r>
      <w:r w:rsidR="004B4FC8" w:rsidRPr="004B4FC8">
        <w:rPr>
          <w:rFonts w:ascii="Calibri" w:hAnsi="Calibri"/>
          <w:lang w:val="mk-MK"/>
        </w:rPr>
        <w:t>февруари</w:t>
      </w:r>
      <w:r w:rsidR="00DB06DA" w:rsidRPr="004B4FC8">
        <w:rPr>
          <w:rFonts w:ascii="Calibri" w:hAnsi="Calibri"/>
          <w:lang w:val="mk-MK"/>
        </w:rPr>
        <w:t xml:space="preserve">, </w:t>
      </w:r>
      <w:r w:rsidR="004E637D" w:rsidRPr="004B4FC8">
        <w:rPr>
          <w:rFonts w:ascii="Calibri" w:hAnsi="Calibri"/>
          <w:lang w:val="mk-MK"/>
        </w:rPr>
        <w:t>201</w:t>
      </w:r>
      <w:r w:rsidR="004B4FC8" w:rsidRPr="004B4FC8">
        <w:rPr>
          <w:rFonts w:ascii="Calibri" w:hAnsi="Calibri"/>
          <w:lang w:val="mk-MK"/>
        </w:rPr>
        <w:t>8</w:t>
      </w:r>
      <w:r w:rsidR="004E637D" w:rsidRPr="004B4FC8">
        <w:rPr>
          <w:rFonts w:ascii="Calibri" w:hAnsi="Calibri"/>
          <w:lang w:val="mk-MK"/>
        </w:rPr>
        <w:t xml:space="preserve"> </w:t>
      </w:r>
      <w:r w:rsidRPr="004B4FC8">
        <w:rPr>
          <w:rFonts w:ascii="Calibri" w:hAnsi="Calibri"/>
          <w:lang w:val="mk-MK"/>
        </w:rPr>
        <w:t xml:space="preserve">и </w:t>
      </w:r>
      <w:r w:rsidR="00DB06DA" w:rsidRPr="004B4FC8">
        <w:rPr>
          <w:rFonts w:ascii="Calibri" w:hAnsi="Calibri"/>
          <w:lang w:val="mk-MK"/>
        </w:rPr>
        <w:t>31</w:t>
      </w:r>
      <w:r w:rsidRPr="004B4FC8">
        <w:rPr>
          <w:rFonts w:ascii="Calibri" w:hAnsi="Calibri"/>
          <w:lang w:val="mk-MK"/>
        </w:rPr>
        <w:t xml:space="preserve"> октомври</w:t>
      </w:r>
      <w:r w:rsidR="00DB06DA" w:rsidRPr="004B4FC8">
        <w:rPr>
          <w:rFonts w:ascii="Calibri" w:hAnsi="Calibri"/>
          <w:lang w:val="mk-MK"/>
        </w:rPr>
        <w:t xml:space="preserve">, </w:t>
      </w:r>
      <w:r w:rsidR="00DB6818" w:rsidRPr="004B4FC8">
        <w:rPr>
          <w:rFonts w:ascii="Calibri" w:hAnsi="Calibri"/>
          <w:lang w:val="mk-MK"/>
        </w:rPr>
        <w:t>2018.</w:t>
      </w:r>
      <w:r w:rsidR="004B4FC8">
        <w:rPr>
          <w:rFonts w:ascii="Calibri" w:hAnsi="Calibri"/>
          <w:lang w:val="mk-MK"/>
        </w:rPr>
        <w:t xml:space="preserve"> Времетраењето на проектите треба да биде не помалку од 3 месеци и не повеќе од 9 месеци.</w:t>
      </w:r>
    </w:p>
    <w:p w:rsidR="00402F26" w:rsidRPr="00B43F6B" w:rsidRDefault="004B41DE" w:rsidP="000B293E">
      <w:pPr>
        <w:pStyle w:val="Heading2"/>
        <w:spacing w:before="240" w:after="240"/>
        <w:ind w:left="936"/>
        <w:rPr>
          <w:color w:val="365F91" w:themeColor="accent1" w:themeShade="BF"/>
          <w:lang w:val="mk-MK"/>
        </w:rPr>
      </w:pPr>
      <w:bookmarkStart w:id="20" w:name="_Toc498020898"/>
      <w:r w:rsidRPr="00B43F6B">
        <w:rPr>
          <w:color w:val="365F91" w:themeColor="accent1" w:themeShade="BF"/>
          <w:lang w:val="mk-MK"/>
        </w:rPr>
        <w:t>Визибилност</w:t>
      </w:r>
      <w:bookmarkEnd w:id="20"/>
      <w:r w:rsidRPr="00B43F6B">
        <w:rPr>
          <w:color w:val="365F91" w:themeColor="accent1" w:themeShade="BF"/>
          <w:lang w:val="mk-MK"/>
        </w:rPr>
        <w:t xml:space="preserve"> </w:t>
      </w:r>
    </w:p>
    <w:p w:rsidR="000D6D45" w:rsidRPr="00B43F6B" w:rsidRDefault="000D6D45" w:rsidP="001F7557">
      <w:pPr>
        <w:jc w:val="both"/>
        <w:rPr>
          <w:rFonts w:ascii="Calibri" w:hAnsi="Calibri"/>
          <w:lang w:val="mk-MK"/>
        </w:rPr>
      </w:pPr>
      <w:r w:rsidRPr="00B43F6B">
        <w:rPr>
          <w:rFonts w:ascii="Calibri" w:hAnsi="Calibri"/>
          <w:lang w:val="mk-MK"/>
        </w:rPr>
        <w:t xml:space="preserve">Добитниците на грантот ќе имаат обврска да се придржуваат кон правилата за визибилност дефинирани од страна на </w:t>
      </w:r>
      <w:r w:rsidR="00AE299D" w:rsidRPr="00B43F6B">
        <w:rPr>
          <w:rFonts w:ascii="Calibri" w:hAnsi="Calibri"/>
          <w:lang w:val="mk-MK"/>
        </w:rPr>
        <w:t>Националниот</w:t>
      </w:r>
      <w:r w:rsidRPr="00B43F6B">
        <w:rPr>
          <w:rFonts w:ascii="Calibri" w:hAnsi="Calibri"/>
          <w:lang w:val="mk-MK"/>
        </w:rPr>
        <w:t xml:space="preserve"> проектен координатор во својата земја.  </w:t>
      </w:r>
    </w:p>
    <w:p w:rsidR="00AA7217" w:rsidRPr="00B43F6B" w:rsidRDefault="000D6D45" w:rsidP="00F15330">
      <w:pPr>
        <w:pStyle w:val="Heading1"/>
        <w:numPr>
          <w:ilvl w:val="0"/>
          <w:numId w:val="12"/>
        </w:numPr>
        <w:spacing w:before="240" w:after="240"/>
        <w:ind w:left="360"/>
        <w:rPr>
          <w:sz w:val="26"/>
          <w:szCs w:val="26"/>
          <w:lang w:val="mk-MK"/>
        </w:rPr>
      </w:pPr>
      <w:bookmarkStart w:id="21" w:name="_Toc498020899"/>
      <w:r w:rsidRPr="00B43F6B">
        <w:rPr>
          <w:sz w:val="26"/>
          <w:szCs w:val="26"/>
          <w:lang w:val="mk-MK"/>
        </w:rPr>
        <w:t>Апликации</w:t>
      </w:r>
      <w:bookmarkEnd w:id="21"/>
    </w:p>
    <w:p w:rsidR="000B293E" w:rsidRPr="00B43F6B" w:rsidRDefault="000B293E" w:rsidP="00F15330">
      <w:pPr>
        <w:pStyle w:val="ListParagraph"/>
        <w:keepNext/>
        <w:keepLines/>
        <w:numPr>
          <w:ilvl w:val="0"/>
          <w:numId w:val="14"/>
        </w:numPr>
        <w:spacing w:before="480"/>
        <w:contextualSpacing w:val="0"/>
        <w:outlineLvl w:val="0"/>
        <w:rPr>
          <w:rFonts w:asciiTheme="majorHAnsi" w:eastAsiaTheme="majorEastAsia" w:hAnsiTheme="majorHAnsi" w:cstheme="majorBidi"/>
          <w:b/>
          <w:bCs/>
          <w:vanish/>
          <w:color w:val="345A8A" w:themeColor="accent1" w:themeShade="B5"/>
          <w:sz w:val="32"/>
          <w:szCs w:val="32"/>
          <w:lang w:val="mk-MK"/>
        </w:rPr>
      </w:pPr>
      <w:bookmarkStart w:id="22" w:name="_Toc497186228"/>
      <w:bookmarkStart w:id="23" w:name="_Toc498020900"/>
      <w:bookmarkEnd w:id="22"/>
      <w:bookmarkEnd w:id="23"/>
    </w:p>
    <w:p w:rsidR="00402F26" w:rsidRPr="00B43F6B" w:rsidRDefault="000D6D45" w:rsidP="000B293E">
      <w:pPr>
        <w:pStyle w:val="Heading2"/>
        <w:spacing w:before="240" w:after="240"/>
        <w:ind w:left="994" w:hanging="634"/>
        <w:rPr>
          <w:color w:val="365F91" w:themeColor="accent1" w:themeShade="BF"/>
          <w:lang w:val="mk-MK"/>
        </w:rPr>
      </w:pPr>
      <w:bookmarkStart w:id="24" w:name="_Toc498020901"/>
      <w:r w:rsidRPr="00B43F6B">
        <w:rPr>
          <w:color w:val="365F91" w:themeColor="accent1" w:themeShade="BF"/>
          <w:lang w:val="mk-MK"/>
        </w:rPr>
        <w:t>Како да се аплицира</w:t>
      </w:r>
      <w:bookmarkEnd w:id="24"/>
      <w:r w:rsidRPr="00B43F6B">
        <w:rPr>
          <w:color w:val="365F91" w:themeColor="accent1" w:themeShade="BF"/>
          <w:lang w:val="mk-MK"/>
        </w:rPr>
        <w:t xml:space="preserve"> </w:t>
      </w:r>
    </w:p>
    <w:p w:rsidR="000D6D45" w:rsidRPr="00B43F6B" w:rsidRDefault="000D6D45" w:rsidP="000D6D45">
      <w:pPr>
        <w:spacing w:after="120"/>
        <w:jc w:val="both"/>
        <w:rPr>
          <w:rFonts w:asciiTheme="majorHAnsi" w:hAnsiTheme="majorHAnsi" w:cstheme="majorHAnsi"/>
          <w:lang w:val="mk-MK"/>
        </w:rPr>
      </w:pPr>
      <w:r w:rsidRPr="00B43F6B">
        <w:rPr>
          <w:rFonts w:asciiTheme="majorHAnsi" w:hAnsiTheme="majorHAnsi" w:cstheme="majorHAnsi"/>
          <w:lang w:val="mk-MK"/>
        </w:rPr>
        <w:t xml:space="preserve">Апликациите – барањата, како севкупната придружна </w:t>
      </w:r>
      <w:r w:rsidR="00AE299D" w:rsidRPr="00B43F6B">
        <w:rPr>
          <w:rFonts w:asciiTheme="majorHAnsi" w:hAnsiTheme="majorHAnsi" w:cstheme="majorHAnsi"/>
          <w:lang w:val="mk-MK"/>
        </w:rPr>
        <w:t>документација</w:t>
      </w:r>
      <w:r w:rsidRPr="00B43F6B">
        <w:rPr>
          <w:rFonts w:asciiTheme="majorHAnsi" w:hAnsiTheme="majorHAnsi" w:cstheme="majorHAnsi"/>
          <w:lang w:val="mk-MK"/>
        </w:rPr>
        <w:t xml:space="preserve"> наведена во овие насоки, мора да се испрати до </w:t>
      </w:r>
      <w:hyperlink r:id="rId20" w:history="1">
        <w:r w:rsidR="00FB19A8" w:rsidRPr="00CC39F6">
          <w:rPr>
            <w:rStyle w:val="Hyperlink"/>
            <w:rFonts w:asciiTheme="majorHAnsi" w:hAnsiTheme="majorHAnsi" w:cstheme="majorHAnsi"/>
          </w:rPr>
          <w:t>altergranting@gmail.com</w:t>
        </w:r>
      </w:hyperlink>
      <w:r w:rsidR="004B4FC8">
        <w:rPr>
          <w:lang w:val="mk-MK"/>
        </w:rPr>
        <w:t xml:space="preserve"> </w:t>
      </w:r>
      <w:r w:rsidRPr="00B43F6B">
        <w:rPr>
          <w:rFonts w:asciiTheme="majorHAnsi" w:hAnsiTheme="majorHAnsi" w:cstheme="majorHAnsi"/>
          <w:lang w:val="mk-MK"/>
        </w:rPr>
        <w:t xml:space="preserve">и тоа најдоцна до </w:t>
      </w:r>
      <w:r w:rsidR="004B4FC8" w:rsidRPr="004B4FC8">
        <w:rPr>
          <w:rFonts w:asciiTheme="majorHAnsi" w:hAnsiTheme="majorHAnsi" w:cstheme="majorHAnsi"/>
          <w:b/>
          <w:lang w:val="mk-MK"/>
        </w:rPr>
        <w:t>1</w:t>
      </w:r>
      <w:r w:rsidR="00FB19A8">
        <w:rPr>
          <w:rFonts w:asciiTheme="majorHAnsi" w:hAnsiTheme="majorHAnsi" w:cstheme="majorHAnsi"/>
          <w:b/>
        </w:rPr>
        <w:t>7</w:t>
      </w:r>
      <w:r w:rsidR="004B4FC8" w:rsidRPr="004B4FC8">
        <w:rPr>
          <w:rFonts w:asciiTheme="majorHAnsi" w:hAnsiTheme="majorHAnsi" w:cstheme="majorHAnsi"/>
          <w:b/>
          <w:lang w:val="mk-MK"/>
        </w:rPr>
        <w:t xml:space="preserve"> декември</w:t>
      </w:r>
      <w:r w:rsidR="00FC054F" w:rsidRPr="004B4FC8">
        <w:rPr>
          <w:rFonts w:asciiTheme="majorHAnsi" w:hAnsiTheme="majorHAnsi" w:cstheme="majorHAnsi"/>
          <w:b/>
          <w:lang w:val="mk-MK"/>
        </w:rPr>
        <w:t>, 201</w:t>
      </w:r>
      <w:r w:rsidR="003E77B4" w:rsidRPr="004B4FC8">
        <w:rPr>
          <w:rFonts w:asciiTheme="majorHAnsi" w:hAnsiTheme="majorHAnsi" w:cstheme="majorHAnsi"/>
          <w:b/>
          <w:lang w:val="mk-MK"/>
        </w:rPr>
        <w:t>7</w:t>
      </w:r>
      <w:r w:rsidR="001E69D4">
        <w:rPr>
          <w:rFonts w:asciiTheme="majorHAnsi" w:hAnsiTheme="majorHAnsi" w:cstheme="majorHAnsi"/>
          <w:b/>
        </w:rPr>
        <w:t xml:space="preserve">, </w:t>
      </w:r>
      <w:bookmarkStart w:id="25" w:name="_GoBack"/>
      <w:bookmarkEnd w:id="25"/>
      <w:r w:rsidR="001E69D4">
        <w:rPr>
          <w:rFonts w:cs="Calibri"/>
          <w:b/>
          <w:lang w:val="sr-Cyrl-RS"/>
        </w:rPr>
        <w:t>до 23.59</w:t>
      </w:r>
      <w:r w:rsidR="00FC054F" w:rsidRPr="00B43F6B">
        <w:rPr>
          <w:rFonts w:asciiTheme="majorHAnsi" w:hAnsiTheme="majorHAnsi" w:cstheme="majorHAnsi"/>
          <w:b/>
          <w:lang w:val="mk-MK"/>
        </w:rPr>
        <w:t>.</w:t>
      </w:r>
      <w:r w:rsidR="00FC054F" w:rsidRPr="00B43F6B">
        <w:rPr>
          <w:rFonts w:asciiTheme="majorHAnsi" w:hAnsiTheme="majorHAnsi" w:cstheme="majorHAnsi"/>
          <w:lang w:val="mk-MK"/>
        </w:rPr>
        <w:t xml:space="preserve"> </w:t>
      </w:r>
      <w:r w:rsidRPr="00B43F6B">
        <w:rPr>
          <w:rFonts w:asciiTheme="majorHAnsi" w:hAnsiTheme="majorHAnsi" w:cstheme="majorHAnsi"/>
          <w:lang w:val="mk-MK"/>
        </w:rPr>
        <w:t xml:space="preserve">Ќе се оценуваат само доставените документи наведени во овие насоки и обрасците наведени во списокот. Не </w:t>
      </w:r>
      <w:r w:rsidR="00AE299D" w:rsidRPr="00B43F6B">
        <w:rPr>
          <w:rFonts w:asciiTheme="majorHAnsi" w:hAnsiTheme="majorHAnsi" w:cstheme="majorHAnsi"/>
          <w:lang w:val="mk-MK"/>
        </w:rPr>
        <w:t>испраќајте</w:t>
      </w:r>
      <w:r w:rsidRPr="00B43F6B">
        <w:rPr>
          <w:rFonts w:asciiTheme="majorHAnsi" w:hAnsiTheme="majorHAnsi" w:cstheme="majorHAnsi"/>
          <w:lang w:val="mk-MK"/>
        </w:rPr>
        <w:t xml:space="preserve"> дополнителни документи ако не се посебно наведени на образецот за апликација. Потенцијалните </w:t>
      </w:r>
      <w:r w:rsidR="00AE299D" w:rsidRPr="00B43F6B">
        <w:rPr>
          <w:rFonts w:asciiTheme="majorHAnsi" w:hAnsiTheme="majorHAnsi" w:cstheme="majorHAnsi"/>
          <w:lang w:val="mk-MK"/>
        </w:rPr>
        <w:t>апликанти</w:t>
      </w:r>
      <w:r w:rsidRPr="00B43F6B">
        <w:rPr>
          <w:rFonts w:asciiTheme="majorHAnsi" w:hAnsiTheme="majorHAnsi" w:cstheme="majorHAnsi"/>
          <w:lang w:val="mk-MK"/>
        </w:rPr>
        <w:t xml:space="preserve"> може да испратат прашања за Грантовата програма или за документите што треба да се достават на истата електронска адреса наведена горе и тоа најдоцна до </w:t>
      </w:r>
      <w:r w:rsidR="00764829" w:rsidRPr="00764829">
        <w:rPr>
          <w:rFonts w:asciiTheme="majorHAnsi" w:hAnsiTheme="majorHAnsi" w:cstheme="majorHAnsi"/>
          <w:lang w:val="mk-MK"/>
        </w:rPr>
        <w:t>1 д</w:t>
      </w:r>
      <w:r w:rsidR="00764829">
        <w:rPr>
          <w:rFonts w:asciiTheme="majorHAnsi" w:hAnsiTheme="majorHAnsi" w:cstheme="majorHAnsi"/>
          <w:lang w:val="mk-MK"/>
        </w:rPr>
        <w:t>екември</w:t>
      </w:r>
      <w:r w:rsidRPr="00B43F6B">
        <w:rPr>
          <w:rFonts w:asciiTheme="majorHAnsi" w:hAnsiTheme="majorHAnsi" w:cstheme="majorHAnsi"/>
          <w:lang w:val="mk-MK"/>
        </w:rPr>
        <w:t xml:space="preserve">. </w:t>
      </w:r>
    </w:p>
    <w:p w:rsidR="00CE043D" w:rsidRPr="00B43F6B" w:rsidRDefault="000D6D45" w:rsidP="00CE043D">
      <w:pPr>
        <w:pStyle w:val="ListParagraph"/>
        <w:numPr>
          <w:ilvl w:val="0"/>
          <w:numId w:val="7"/>
        </w:numPr>
        <w:spacing w:after="120"/>
        <w:jc w:val="both"/>
        <w:rPr>
          <w:rFonts w:asciiTheme="majorHAnsi" w:hAnsiTheme="majorHAnsi" w:cstheme="majorHAnsi"/>
          <w:lang w:val="mk-MK"/>
        </w:rPr>
      </w:pPr>
      <w:r w:rsidRPr="00B43F6B">
        <w:rPr>
          <w:rFonts w:asciiTheme="majorHAnsi" w:hAnsiTheme="majorHAnsi" w:cstheme="majorHAnsi"/>
          <w:lang w:val="mk-MK"/>
        </w:rPr>
        <w:t xml:space="preserve">Се поднесува единствен образец за апликација и буџет; </w:t>
      </w:r>
    </w:p>
    <w:p w:rsidR="00DB0077" w:rsidRPr="00B43F6B" w:rsidRDefault="00DB0077" w:rsidP="00CE043D">
      <w:pPr>
        <w:pStyle w:val="ListParagraph"/>
        <w:numPr>
          <w:ilvl w:val="0"/>
          <w:numId w:val="7"/>
        </w:numPr>
        <w:jc w:val="both"/>
        <w:rPr>
          <w:rFonts w:ascii="Calibri" w:hAnsi="Calibri"/>
          <w:lang w:val="mk-MK"/>
        </w:rPr>
      </w:pPr>
      <w:r w:rsidRPr="00B43F6B">
        <w:rPr>
          <w:rFonts w:ascii="Calibri" w:hAnsi="Calibri"/>
          <w:lang w:val="mk-MK"/>
        </w:rPr>
        <w:t>Секој од партнерите треба да обезбеди правни документи (Статут и Сертификат за регистрација) и Годишни финансиски извештаи, р</w:t>
      </w:r>
      <w:r w:rsidR="005D482D" w:rsidRPr="00B43F6B">
        <w:rPr>
          <w:rFonts w:ascii="Calibri" w:hAnsi="Calibri"/>
          <w:lang w:val="mk-MK"/>
        </w:rPr>
        <w:t xml:space="preserve">елевантни за нивната </w:t>
      </w:r>
      <w:r w:rsidR="00AE299D" w:rsidRPr="00B43F6B">
        <w:rPr>
          <w:rFonts w:ascii="Calibri" w:hAnsi="Calibri"/>
          <w:lang w:val="mk-MK"/>
        </w:rPr>
        <w:t>организација</w:t>
      </w:r>
      <w:r w:rsidRPr="00B43F6B">
        <w:rPr>
          <w:rFonts w:ascii="Calibri" w:hAnsi="Calibri"/>
          <w:lang w:val="mk-MK"/>
        </w:rPr>
        <w:t xml:space="preserve"> и тоа поединечно; </w:t>
      </w:r>
    </w:p>
    <w:p w:rsidR="00CE043D" w:rsidRPr="00B43F6B" w:rsidRDefault="003852E8" w:rsidP="00CE043D">
      <w:pPr>
        <w:pStyle w:val="ListParagraph"/>
        <w:numPr>
          <w:ilvl w:val="0"/>
          <w:numId w:val="7"/>
        </w:numPr>
        <w:jc w:val="both"/>
        <w:rPr>
          <w:rFonts w:ascii="Calibri" w:hAnsi="Calibri"/>
          <w:lang w:val="mk-MK"/>
        </w:rPr>
      </w:pPr>
      <w:r w:rsidRPr="00B43F6B">
        <w:rPr>
          <w:rFonts w:ascii="Calibri" w:hAnsi="Calibri"/>
          <w:lang w:val="mk-MK"/>
        </w:rPr>
        <w:t xml:space="preserve">Буџетот треба да ги огледува финансиските одговорност на секој од партнерите; </w:t>
      </w:r>
    </w:p>
    <w:p w:rsidR="003852E8" w:rsidRPr="00B43F6B" w:rsidRDefault="003852E8" w:rsidP="00CE043D">
      <w:pPr>
        <w:pStyle w:val="ListParagraph"/>
        <w:numPr>
          <w:ilvl w:val="0"/>
          <w:numId w:val="7"/>
        </w:numPr>
        <w:jc w:val="both"/>
        <w:rPr>
          <w:rFonts w:ascii="Calibri" w:hAnsi="Calibri"/>
          <w:lang w:val="mk-MK"/>
        </w:rPr>
      </w:pPr>
      <w:r w:rsidRPr="00B43F6B">
        <w:rPr>
          <w:rFonts w:ascii="Calibri" w:hAnsi="Calibri"/>
          <w:lang w:val="mk-MK"/>
        </w:rPr>
        <w:t xml:space="preserve">Нема да се бараат белешки за концептот. </w:t>
      </w:r>
      <w:r w:rsidR="00AE299D" w:rsidRPr="00B43F6B">
        <w:rPr>
          <w:rFonts w:ascii="Calibri" w:hAnsi="Calibri"/>
          <w:lang w:val="mk-MK"/>
        </w:rPr>
        <w:t xml:space="preserve">Откако ќе ги поднесат документите, на </w:t>
      </w:r>
      <w:r w:rsidR="00AE299D">
        <w:rPr>
          <w:rFonts w:ascii="Calibri" w:hAnsi="Calibri"/>
          <w:lang w:val="mk-MK"/>
        </w:rPr>
        <w:t xml:space="preserve">апликантите </w:t>
      </w:r>
      <w:r w:rsidR="00AE299D" w:rsidRPr="00B43F6B">
        <w:rPr>
          <w:rFonts w:ascii="Calibri" w:hAnsi="Calibri"/>
          <w:lang w:val="mk-MK"/>
        </w:rPr>
        <w:t xml:space="preserve">нема да им биде дозволено да направат какви било промени на својата апликација, но, доколку е потребно, Националниот проектен координатор може да го контактира апликантот за да добие понатамошни појаснувања; </w:t>
      </w:r>
    </w:p>
    <w:p w:rsidR="009379C6" w:rsidRPr="00B43F6B" w:rsidRDefault="00B21412" w:rsidP="00CE043D">
      <w:pPr>
        <w:pStyle w:val="ListParagraph"/>
        <w:numPr>
          <w:ilvl w:val="0"/>
          <w:numId w:val="22"/>
        </w:numPr>
        <w:spacing w:after="120"/>
        <w:jc w:val="both"/>
        <w:rPr>
          <w:rFonts w:asciiTheme="majorHAnsi" w:hAnsiTheme="majorHAnsi" w:cstheme="majorHAnsi"/>
          <w:lang w:val="mk-MK"/>
        </w:rPr>
      </w:pPr>
      <w:r w:rsidRPr="00B43F6B">
        <w:rPr>
          <w:rFonts w:asciiTheme="majorHAnsi" w:hAnsiTheme="majorHAnsi" w:cstheme="majorHAnsi"/>
          <w:lang w:val="mk-MK"/>
        </w:rPr>
        <w:lastRenderedPageBreak/>
        <w:t xml:space="preserve">Во апликациите треба да се огледува </w:t>
      </w:r>
      <w:r w:rsidRPr="00B43F6B">
        <w:rPr>
          <w:rFonts w:asciiTheme="majorHAnsi" w:hAnsiTheme="majorHAnsi" w:cstheme="majorHAnsi"/>
          <w:b/>
          <w:lang w:val="mk-MK"/>
        </w:rPr>
        <w:t>како проектните цели се преклопуваат со показателите на Грантовата програма наведени под точката на овие насоки 2.2. Проектни показатели;</w:t>
      </w:r>
      <w:r w:rsidRPr="00B43F6B">
        <w:rPr>
          <w:rFonts w:asciiTheme="majorHAnsi" w:hAnsiTheme="majorHAnsi" w:cstheme="majorHAnsi"/>
          <w:lang w:val="mk-MK"/>
        </w:rPr>
        <w:t xml:space="preserve">  </w:t>
      </w:r>
    </w:p>
    <w:p w:rsidR="005F732B" w:rsidRPr="00B43F6B" w:rsidRDefault="000F123F" w:rsidP="00CE043D">
      <w:pPr>
        <w:pStyle w:val="ListParagraph"/>
        <w:numPr>
          <w:ilvl w:val="0"/>
          <w:numId w:val="22"/>
        </w:numPr>
        <w:spacing w:after="120"/>
        <w:jc w:val="both"/>
        <w:rPr>
          <w:rFonts w:asciiTheme="majorHAnsi" w:hAnsiTheme="majorHAnsi" w:cstheme="majorHAnsi"/>
          <w:lang w:val="mk-MK"/>
        </w:rPr>
      </w:pPr>
      <w:r w:rsidRPr="00B43F6B">
        <w:rPr>
          <w:rFonts w:asciiTheme="majorHAnsi" w:hAnsiTheme="majorHAnsi" w:cstheme="majorHAnsi"/>
          <w:lang w:val="mk-MK"/>
        </w:rPr>
        <w:t xml:space="preserve">Апликантите </w:t>
      </w:r>
      <w:r w:rsidR="005F732B" w:rsidRPr="00B43F6B">
        <w:rPr>
          <w:rFonts w:asciiTheme="majorHAnsi" w:hAnsiTheme="majorHAnsi" w:cstheme="majorHAnsi"/>
          <w:lang w:val="mk-MK"/>
        </w:rPr>
        <w:t xml:space="preserve">можат да поднесат само 1 проектна апликација; само на еден проект по организација ќе му биде доделен грант, заедно со партнерството; </w:t>
      </w:r>
    </w:p>
    <w:p w:rsidR="00CE043D" w:rsidRPr="00B43F6B" w:rsidRDefault="005F732B" w:rsidP="00CE043D">
      <w:pPr>
        <w:pStyle w:val="ListParagraph"/>
        <w:numPr>
          <w:ilvl w:val="0"/>
          <w:numId w:val="22"/>
        </w:numPr>
        <w:spacing w:after="120"/>
        <w:jc w:val="both"/>
        <w:rPr>
          <w:rFonts w:asciiTheme="majorHAnsi" w:hAnsiTheme="majorHAnsi" w:cstheme="majorHAnsi"/>
          <w:lang w:val="mk-MK"/>
        </w:rPr>
      </w:pPr>
      <w:r w:rsidRPr="00B43F6B">
        <w:rPr>
          <w:rFonts w:asciiTheme="majorHAnsi" w:hAnsiTheme="majorHAnsi" w:cstheme="majorHAnsi"/>
          <w:lang w:val="mk-MK"/>
        </w:rPr>
        <w:t xml:space="preserve">Секоја </w:t>
      </w:r>
      <w:r w:rsidR="00AE299D" w:rsidRPr="00B43F6B">
        <w:rPr>
          <w:rFonts w:asciiTheme="majorHAnsi" w:hAnsiTheme="majorHAnsi" w:cstheme="majorHAnsi"/>
          <w:lang w:val="mk-MK"/>
        </w:rPr>
        <w:t>организ</w:t>
      </w:r>
      <w:r w:rsidR="00AE299D">
        <w:rPr>
          <w:rFonts w:asciiTheme="majorHAnsi" w:hAnsiTheme="majorHAnsi" w:cstheme="majorHAnsi"/>
          <w:lang w:val="mk-MK"/>
        </w:rPr>
        <w:t>ација</w:t>
      </w:r>
      <w:r w:rsidRPr="00B43F6B">
        <w:rPr>
          <w:rFonts w:asciiTheme="majorHAnsi" w:hAnsiTheme="majorHAnsi" w:cstheme="majorHAnsi"/>
          <w:lang w:val="mk-MK"/>
        </w:rPr>
        <w:t xml:space="preserve"> може да биде апликант или парнер само во 1 проектна апликација. </w:t>
      </w:r>
    </w:p>
    <w:p w:rsidR="00402F26" w:rsidRPr="00B43F6B" w:rsidRDefault="00C37658" w:rsidP="000B293E">
      <w:pPr>
        <w:pStyle w:val="Heading2"/>
        <w:spacing w:before="240" w:after="240"/>
        <w:ind w:left="994" w:hanging="634"/>
        <w:rPr>
          <w:color w:val="365F91" w:themeColor="accent1" w:themeShade="BF"/>
          <w:lang w:val="mk-MK"/>
        </w:rPr>
      </w:pPr>
      <w:bookmarkStart w:id="26" w:name="_Toc498020902"/>
      <w:r w:rsidRPr="00B43F6B">
        <w:rPr>
          <w:color w:val="365F91" w:themeColor="accent1" w:themeShade="BF"/>
          <w:lang w:val="mk-MK"/>
        </w:rPr>
        <w:t>Процес на селекција и доделување бодови</w:t>
      </w:r>
      <w:bookmarkEnd w:id="26"/>
      <w:r w:rsidRPr="00B43F6B">
        <w:rPr>
          <w:color w:val="365F91" w:themeColor="accent1" w:themeShade="BF"/>
          <w:lang w:val="mk-MK"/>
        </w:rPr>
        <w:t xml:space="preserve"> </w:t>
      </w:r>
    </w:p>
    <w:p w:rsidR="00FB00DB" w:rsidRPr="00B43F6B" w:rsidRDefault="00FB00DB" w:rsidP="003E77B4">
      <w:pPr>
        <w:spacing w:after="120"/>
        <w:jc w:val="both"/>
        <w:rPr>
          <w:rFonts w:ascii="Calibri" w:hAnsi="Calibri"/>
          <w:lang w:val="mk-MK"/>
        </w:rPr>
      </w:pPr>
      <w:r w:rsidRPr="00B43F6B">
        <w:rPr>
          <w:rFonts w:ascii="Calibri" w:hAnsi="Calibri"/>
          <w:lang w:val="mk-MK"/>
        </w:rPr>
        <w:t xml:space="preserve">Апликациите </w:t>
      </w:r>
      <w:r w:rsidR="00AE299D">
        <w:rPr>
          <w:rFonts w:ascii="Calibri" w:hAnsi="Calibri"/>
          <w:lang w:val="mk-MK"/>
        </w:rPr>
        <w:t>ќ</w:t>
      </w:r>
      <w:r w:rsidR="00AE299D" w:rsidRPr="00B43F6B">
        <w:rPr>
          <w:rFonts w:ascii="Calibri" w:hAnsi="Calibri"/>
          <w:lang w:val="mk-MK"/>
        </w:rPr>
        <w:t>е</w:t>
      </w:r>
      <w:r w:rsidRPr="00B43F6B">
        <w:rPr>
          <w:rFonts w:ascii="Calibri" w:hAnsi="Calibri"/>
          <w:lang w:val="mk-MK"/>
        </w:rPr>
        <w:t xml:space="preserve"> се оценуваат врз основа на нивната релевантност кон целите на Акцијата и колку ефикасно се осврнуваат кон Проектните показатели. Апликациите ќе се оценуваат меѓу апликациите од седум земји учеснички, откако ќе бидат оценети и бодирани од страна на национален, независен советодавен одбор во секоја од седумте земји. </w:t>
      </w:r>
    </w:p>
    <w:p w:rsidR="00FB00DB" w:rsidRPr="00B43F6B" w:rsidRDefault="00FB00DB" w:rsidP="003E77B4">
      <w:pPr>
        <w:spacing w:after="120"/>
        <w:jc w:val="both"/>
        <w:rPr>
          <w:rFonts w:ascii="Calibri" w:hAnsi="Calibri"/>
          <w:lang w:val="mk-MK"/>
        </w:rPr>
      </w:pPr>
      <w:r w:rsidRPr="00B43F6B">
        <w:rPr>
          <w:rFonts w:ascii="Calibri" w:hAnsi="Calibri"/>
          <w:lang w:val="mk-MK"/>
        </w:rPr>
        <w:t xml:space="preserve">Договорниот орган ќе ги избере прво рангираните апликации за секоја земја, под услов да достигнуваат </w:t>
      </w:r>
      <w:r w:rsidR="00AE299D" w:rsidRPr="00B43F6B">
        <w:rPr>
          <w:rFonts w:ascii="Calibri" w:hAnsi="Calibri"/>
          <w:lang w:val="mk-MK"/>
        </w:rPr>
        <w:t>минимален</w:t>
      </w:r>
      <w:r w:rsidRPr="00B43F6B">
        <w:rPr>
          <w:rFonts w:ascii="Calibri" w:hAnsi="Calibri"/>
          <w:lang w:val="mk-MK"/>
        </w:rPr>
        <w:t xml:space="preserve"> број од потребните бодови, во согласност со </w:t>
      </w:r>
      <w:r w:rsidR="0011757B" w:rsidRPr="00B43F6B">
        <w:rPr>
          <w:rFonts w:ascii="Calibri" w:hAnsi="Calibri"/>
          <w:lang w:val="mk-MK"/>
        </w:rPr>
        <w:t xml:space="preserve">вкупните </w:t>
      </w:r>
      <w:r w:rsidRPr="00B43F6B">
        <w:rPr>
          <w:rFonts w:ascii="Calibri" w:hAnsi="Calibri"/>
          <w:lang w:val="mk-MK"/>
        </w:rPr>
        <w:t xml:space="preserve">достапните средства по земја. </w:t>
      </w:r>
      <w:r w:rsidR="0011757B" w:rsidRPr="00B43F6B">
        <w:rPr>
          <w:rFonts w:ascii="Calibri" w:hAnsi="Calibri"/>
          <w:b/>
          <w:lang w:val="mk-MK"/>
        </w:rPr>
        <w:t xml:space="preserve">Ќе се доделат минимум два гранта во </w:t>
      </w:r>
      <w:r w:rsidR="00AE299D" w:rsidRPr="00B43F6B">
        <w:rPr>
          <w:rFonts w:ascii="Calibri" w:hAnsi="Calibri"/>
          <w:b/>
          <w:lang w:val="mk-MK"/>
        </w:rPr>
        <w:t>секоја</w:t>
      </w:r>
      <w:r w:rsidR="0011757B" w:rsidRPr="00B43F6B">
        <w:rPr>
          <w:rFonts w:ascii="Calibri" w:hAnsi="Calibri"/>
          <w:b/>
          <w:lang w:val="mk-MK"/>
        </w:rPr>
        <w:t xml:space="preserve"> проектна земја: </w:t>
      </w:r>
      <w:r w:rsidR="0011757B" w:rsidRPr="00B43F6B">
        <w:rPr>
          <w:rFonts w:asciiTheme="majorHAnsi" w:hAnsiTheme="majorHAnsi" w:cstheme="majorHAnsi"/>
          <w:b/>
          <w:lang w:val="mk-MK"/>
        </w:rPr>
        <w:t>Албанија, Босна и Херцеговина, Македонија, Црна Гора, Косово*, Србија и Турција</w:t>
      </w:r>
      <w:r w:rsidR="0011757B" w:rsidRPr="00B43F6B">
        <w:rPr>
          <w:rFonts w:asciiTheme="majorHAnsi" w:hAnsiTheme="majorHAnsi" w:cstheme="majorHAnsi"/>
          <w:lang w:val="mk-MK"/>
        </w:rPr>
        <w:t xml:space="preserve">. </w:t>
      </w:r>
    </w:p>
    <w:p w:rsidR="0011757B" w:rsidRPr="00B43F6B" w:rsidRDefault="0011757B" w:rsidP="003E77B4">
      <w:pPr>
        <w:spacing w:after="120"/>
        <w:jc w:val="both"/>
        <w:rPr>
          <w:rFonts w:ascii="Calibri" w:hAnsi="Calibri"/>
          <w:lang w:val="mk-MK"/>
        </w:rPr>
      </w:pPr>
      <w:r w:rsidRPr="00B43F6B">
        <w:rPr>
          <w:rFonts w:ascii="Calibri" w:hAnsi="Calibri"/>
          <w:lang w:val="mk-MK"/>
        </w:rPr>
        <w:t xml:space="preserve">На крајот, ќе се изберат дополнителни грантови следејќи го општото приоритетно </w:t>
      </w:r>
      <w:r w:rsidR="00AE299D" w:rsidRPr="00B43F6B">
        <w:rPr>
          <w:rFonts w:ascii="Calibri" w:hAnsi="Calibri"/>
          <w:lang w:val="mk-MK"/>
        </w:rPr>
        <w:t>рангирање</w:t>
      </w:r>
      <w:r w:rsidRPr="00B43F6B">
        <w:rPr>
          <w:rFonts w:ascii="Calibri" w:hAnsi="Calibri"/>
          <w:lang w:val="mk-MK"/>
        </w:rPr>
        <w:t xml:space="preserve"> (нема да се прави разлика по земја), ако недостасуваат проектни апликации во која било проектна земја и во согласност со </w:t>
      </w:r>
      <w:r w:rsidR="00AF7B4D" w:rsidRPr="00B43F6B">
        <w:rPr>
          <w:rFonts w:ascii="Calibri" w:hAnsi="Calibri"/>
          <w:lang w:val="mk-MK"/>
        </w:rPr>
        <w:t xml:space="preserve">вкупните достапни средства. </w:t>
      </w:r>
    </w:p>
    <w:p w:rsidR="00E14612" w:rsidRPr="00B43F6B" w:rsidRDefault="00AF7B4D" w:rsidP="00AF7B4D">
      <w:pPr>
        <w:spacing w:after="120"/>
        <w:jc w:val="both"/>
        <w:rPr>
          <w:rFonts w:ascii="Calibri" w:hAnsi="Calibri"/>
          <w:lang w:val="mk-MK"/>
        </w:rPr>
      </w:pPr>
      <w:r w:rsidRPr="00B43F6B">
        <w:rPr>
          <w:rFonts w:ascii="Calibri" w:hAnsi="Calibri"/>
          <w:lang w:val="mk-MK"/>
        </w:rPr>
        <w:t xml:space="preserve">Комплетирањето на оценките и огласот се очекува да се случи на </w:t>
      </w:r>
      <w:r w:rsidR="00764829" w:rsidRPr="00764829">
        <w:rPr>
          <w:rFonts w:ascii="Calibri" w:hAnsi="Calibri"/>
          <w:lang w:val="mk-MK"/>
        </w:rPr>
        <w:t>28</w:t>
      </w:r>
      <w:r w:rsidRPr="00764829">
        <w:rPr>
          <w:rFonts w:ascii="Calibri" w:hAnsi="Calibri"/>
          <w:lang w:val="mk-MK"/>
        </w:rPr>
        <w:t xml:space="preserve"> декември </w:t>
      </w:r>
      <w:r w:rsidR="00554267" w:rsidRPr="00764829">
        <w:rPr>
          <w:rFonts w:ascii="Calibri" w:hAnsi="Calibri"/>
          <w:lang w:val="mk-MK"/>
        </w:rPr>
        <w:t>201</w:t>
      </w:r>
      <w:r w:rsidR="003E77B4" w:rsidRPr="00764829">
        <w:rPr>
          <w:rFonts w:ascii="Calibri" w:hAnsi="Calibri"/>
          <w:lang w:val="mk-MK"/>
        </w:rPr>
        <w:t>7</w:t>
      </w:r>
      <w:r w:rsidR="00554267" w:rsidRPr="00764829">
        <w:rPr>
          <w:rFonts w:ascii="Calibri" w:hAnsi="Calibri"/>
          <w:lang w:val="mk-MK"/>
        </w:rPr>
        <w:t>.</w:t>
      </w:r>
    </w:p>
    <w:p w:rsidR="00CE1857" w:rsidRPr="00B43F6B" w:rsidRDefault="005E155D" w:rsidP="000B293E">
      <w:pPr>
        <w:pStyle w:val="Heading3"/>
        <w:spacing w:before="120" w:after="120"/>
        <w:ind w:left="1440"/>
        <w:rPr>
          <w:color w:val="365F91" w:themeColor="accent1" w:themeShade="BF"/>
          <w:sz w:val="26"/>
          <w:szCs w:val="26"/>
          <w:lang w:val="mk-MK"/>
        </w:rPr>
      </w:pPr>
      <w:bookmarkStart w:id="27" w:name="_Toc498020903"/>
      <w:r w:rsidRPr="00B43F6B">
        <w:rPr>
          <w:color w:val="365F91" w:themeColor="accent1" w:themeShade="BF"/>
          <w:sz w:val="26"/>
          <w:szCs w:val="26"/>
          <w:lang w:val="mk-MK"/>
        </w:rPr>
        <w:t>Бодирање</w:t>
      </w:r>
      <w:bookmarkEnd w:id="27"/>
      <w:r w:rsidRPr="00B43F6B">
        <w:rPr>
          <w:color w:val="365F91" w:themeColor="accent1" w:themeShade="BF"/>
          <w:sz w:val="26"/>
          <w:szCs w:val="26"/>
          <w:lang w:val="mk-MK"/>
        </w:rPr>
        <w:t xml:space="preserve"> </w:t>
      </w:r>
    </w:p>
    <w:p w:rsidR="00CE1857" w:rsidRPr="00B43F6B" w:rsidRDefault="005E155D" w:rsidP="005E155D">
      <w:pPr>
        <w:spacing w:after="120"/>
        <w:jc w:val="both"/>
        <w:rPr>
          <w:rFonts w:ascii="Calibri" w:hAnsi="Calibri"/>
          <w:lang w:val="mk-MK"/>
        </w:rPr>
      </w:pPr>
      <w:r w:rsidRPr="00B43F6B">
        <w:rPr>
          <w:rFonts w:ascii="Calibri" w:hAnsi="Calibri"/>
          <w:lang w:val="mk-MK"/>
        </w:rPr>
        <w:t xml:space="preserve">Критериумите за оценување се разделени во секции и потсекции. Секоја потсекција ќе добие помеѓу 1 и 5 бода, во </w:t>
      </w:r>
      <w:r w:rsidR="00AE299D" w:rsidRPr="00B43F6B">
        <w:rPr>
          <w:rFonts w:ascii="Calibri" w:hAnsi="Calibri"/>
          <w:lang w:val="mk-MK"/>
        </w:rPr>
        <w:t>согласност</w:t>
      </w:r>
      <w:r w:rsidRPr="00B43F6B">
        <w:rPr>
          <w:rFonts w:ascii="Calibri" w:hAnsi="Calibri"/>
          <w:lang w:val="mk-MK"/>
        </w:rPr>
        <w:t xml:space="preserve"> со </w:t>
      </w:r>
      <w:r w:rsidR="00AE299D" w:rsidRPr="00B43F6B">
        <w:rPr>
          <w:rFonts w:ascii="Calibri" w:hAnsi="Calibri"/>
          <w:lang w:val="mk-MK"/>
        </w:rPr>
        <w:t>следниве</w:t>
      </w:r>
      <w:r w:rsidRPr="00B43F6B">
        <w:rPr>
          <w:rFonts w:ascii="Calibri" w:hAnsi="Calibri"/>
          <w:lang w:val="mk-MK"/>
        </w:rPr>
        <w:t xml:space="preserve"> насоки:</w:t>
      </w:r>
      <w:r w:rsidR="00CE1857" w:rsidRPr="00B43F6B">
        <w:rPr>
          <w:rFonts w:ascii="Calibri" w:hAnsi="Calibri"/>
          <w:lang w:val="mk-MK"/>
        </w:rPr>
        <w:t>: 1=</w:t>
      </w:r>
      <w:r w:rsidRPr="00B43F6B">
        <w:rPr>
          <w:rFonts w:ascii="Calibri" w:hAnsi="Calibri"/>
          <w:lang w:val="mk-MK"/>
        </w:rPr>
        <w:t>мошне слабо</w:t>
      </w:r>
      <w:r w:rsidR="00CE1857" w:rsidRPr="00B43F6B">
        <w:rPr>
          <w:rFonts w:ascii="Calibri" w:hAnsi="Calibri"/>
          <w:lang w:val="mk-MK"/>
        </w:rPr>
        <w:t>; 2=</w:t>
      </w:r>
      <w:r w:rsidRPr="00B43F6B">
        <w:rPr>
          <w:rFonts w:ascii="Calibri" w:hAnsi="Calibri"/>
          <w:lang w:val="mk-MK"/>
        </w:rPr>
        <w:t>слабо</w:t>
      </w:r>
      <w:r w:rsidR="00CE1857" w:rsidRPr="00B43F6B">
        <w:rPr>
          <w:rFonts w:ascii="Calibri" w:hAnsi="Calibri"/>
          <w:lang w:val="mk-MK"/>
        </w:rPr>
        <w:t>; 3=</w:t>
      </w:r>
      <w:r w:rsidRPr="00B43F6B">
        <w:rPr>
          <w:rFonts w:ascii="Calibri" w:hAnsi="Calibri"/>
          <w:lang w:val="mk-MK"/>
        </w:rPr>
        <w:t>соодветно</w:t>
      </w:r>
      <w:r w:rsidR="00CE1857" w:rsidRPr="00B43F6B">
        <w:rPr>
          <w:rFonts w:ascii="Calibri" w:hAnsi="Calibri"/>
          <w:lang w:val="mk-MK"/>
        </w:rPr>
        <w:t>; 4=</w:t>
      </w:r>
      <w:r w:rsidRPr="00B43F6B">
        <w:rPr>
          <w:rFonts w:ascii="Calibri" w:hAnsi="Calibri"/>
          <w:lang w:val="mk-MK"/>
        </w:rPr>
        <w:t>добро</w:t>
      </w:r>
      <w:r w:rsidR="00CE1857" w:rsidRPr="00B43F6B">
        <w:rPr>
          <w:rFonts w:ascii="Calibri" w:hAnsi="Calibri"/>
          <w:lang w:val="mk-MK"/>
        </w:rPr>
        <w:t>; 5=</w:t>
      </w:r>
      <w:r w:rsidRPr="00B43F6B">
        <w:rPr>
          <w:rFonts w:ascii="Calibri" w:hAnsi="Calibri"/>
          <w:lang w:val="mk-MK"/>
        </w:rPr>
        <w:t>мошне добро</w:t>
      </w:r>
      <w:r w:rsidR="00CE1857" w:rsidRPr="00B43F6B">
        <w:rPr>
          <w:rFonts w:ascii="Calibri" w:hAnsi="Calibri"/>
          <w:lang w:val="mk-MK"/>
        </w:rPr>
        <w:t>.</w:t>
      </w:r>
    </w:p>
    <w:p w:rsidR="00CE1857" w:rsidRPr="00B43F6B" w:rsidRDefault="005E155D" w:rsidP="003E77B4">
      <w:pPr>
        <w:spacing w:after="120"/>
        <w:jc w:val="both"/>
        <w:rPr>
          <w:rFonts w:ascii="Calibri" w:hAnsi="Calibri"/>
          <w:lang w:val="mk-MK"/>
        </w:rPr>
      </w:pPr>
      <w:r w:rsidRPr="00B43F6B">
        <w:rPr>
          <w:rFonts w:ascii="Calibri" w:hAnsi="Calibri"/>
          <w:lang w:val="mk-MK"/>
        </w:rPr>
        <w:t xml:space="preserve">За доделување грант ќе бидат </w:t>
      </w:r>
      <w:r w:rsidR="00AE299D" w:rsidRPr="00B43F6B">
        <w:rPr>
          <w:rFonts w:ascii="Calibri" w:hAnsi="Calibri"/>
          <w:lang w:val="mk-MK"/>
        </w:rPr>
        <w:t>предложени</w:t>
      </w:r>
      <w:r w:rsidRPr="00B43F6B">
        <w:rPr>
          <w:rFonts w:ascii="Calibri" w:hAnsi="Calibri"/>
          <w:lang w:val="mk-MK"/>
        </w:rPr>
        <w:t xml:space="preserve"> само проектите што </w:t>
      </w:r>
      <w:r w:rsidR="00AE299D" w:rsidRPr="00B43F6B">
        <w:rPr>
          <w:rFonts w:ascii="Calibri" w:hAnsi="Calibri"/>
          <w:lang w:val="mk-MK"/>
        </w:rPr>
        <w:t>освоиле</w:t>
      </w:r>
      <w:r w:rsidRPr="00B43F6B">
        <w:rPr>
          <w:rFonts w:ascii="Calibri" w:hAnsi="Calibri"/>
          <w:lang w:val="mk-MK"/>
        </w:rPr>
        <w:t xml:space="preserve"> минимум </w:t>
      </w:r>
      <w:r w:rsidRPr="00B43F6B">
        <w:rPr>
          <w:rFonts w:ascii="Calibri" w:hAnsi="Calibri"/>
          <w:b/>
          <w:lang w:val="mk-MK"/>
        </w:rPr>
        <w:t>60 бода</w:t>
      </w:r>
      <w:r w:rsidRPr="00B43F6B">
        <w:rPr>
          <w:rFonts w:ascii="Calibri" w:hAnsi="Calibri"/>
          <w:lang w:val="mk-MK"/>
        </w:rPr>
        <w:t xml:space="preserve">, зависно од </w:t>
      </w:r>
      <w:r w:rsidR="00AE299D" w:rsidRPr="00B43F6B">
        <w:rPr>
          <w:rFonts w:ascii="Calibri" w:hAnsi="Calibri"/>
          <w:lang w:val="mk-MK"/>
        </w:rPr>
        <w:t>достапните</w:t>
      </w:r>
      <w:r w:rsidRPr="00B43F6B">
        <w:rPr>
          <w:rFonts w:ascii="Calibri" w:hAnsi="Calibri"/>
          <w:lang w:val="mk-MK"/>
        </w:rPr>
        <w:t xml:space="preserve"> средства. </w:t>
      </w:r>
    </w:p>
    <w:p w:rsidR="005E155D" w:rsidRPr="00B43F6B" w:rsidRDefault="005E155D" w:rsidP="003E77B4">
      <w:pPr>
        <w:spacing w:after="120"/>
        <w:jc w:val="both"/>
        <w:rPr>
          <w:rFonts w:ascii="Calibri" w:hAnsi="Calibri"/>
          <w:lang w:val="mk-MK"/>
        </w:rPr>
      </w:pPr>
      <w:r w:rsidRPr="00B43F6B">
        <w:rPr>
          <w:rFonts w:ascii="Calibri" w:hAnsi="Calibri"/>
          <w:lang w:val="mk-MK"/>
        </w:rPr>
        <w:t xml:space="preserve">Некои од бодовите во табелата за оценување вредат за два бодови, за да се измерат </w:t>
      </w:r>
      <w:r w:rsidR="00C746C7" w:rsidRPr="00B43F6B">
        <w:rPr>
          <w:rFonts w:ascii="Calibri" w:hAnsi="Calibri"/>
          <w:lang w:val="mk-MK"/>
        </w:rPr>
        <w:t xml:space="preserve">погодните аспекти на проектот. </w:t>
      </w:r>
      <w:r w:rsidRPr="00B43F6B">
        <w:rPr>
          <w:rFonts w:ascii="Calibri" w:hAnsi="Calibri"/>
          <w:lang w:val="mk-MK"/>
        </w:rPr>
        <w:t xml:space="preserve"> </w:t>
      </w:r>
    </w:p>
    <w:p w:rsidR="00CE1857" w:rsidRDefault="00CE1857" w:rsidP="003E77B4">
      <w:pPr>
        <w:spacing w:after="120"/>
        <w:jc w:val="both"/>
        <w:rPr>
          <w:rFonts w:ascii="Calibri" w:hAnsi="Calibri"/>
          <w:lang w:val="mk-MK"/>
        </w:rPr>
      </w:pPr>
    </w:p>
    <w:p w:rsidR="00764829" w:rsidRDefault="00764829" w:rsidP="003E77B4">
      <w:pPr>
        <w:spacing w:after="120"/>
        <w:jc w:val="both"/>
        <w:rPr>
          <w:rFonts w:ascii="Calibri" w:hAnsi="Calibri"/>
          <w:lang w:val="mk-MK"/>
        </w:rPr>
      </w:pPr>
    </w:p>
    <w:p w:rsidR="00764829" w:rsidRDefault="00764829" w:rsidP="003E77B4">
      <w:pPr>
        <w:spacing w:after="120"/>
        <w:jc w:val="both"/>
        <w:rPr>
          <w:rFonts w:ascii="Calibri" w:hAnsi="Calibri"/>
          <w:lang w:val="mk-MK"/>
        </w:rPr>
      </w:pPr>
    </w:p>
    <w:p w:rsidR="00764829" w:rsidRPr="00B43F6B" w:rsidRDefault="00764829" w:rsidP="003E77B4">
      <w:pPr>
        <w:spacing w:after="120"/>
        <w:jc w:val="both"/>
        <w:rPr>
          <w:rFonts w:ascii="Calibri" w:hAnsi="Calibri"/>
          <w:lang w:val="mk-MK"/>
        </w:rPr>
      </w:pPr>
    </w:p>
    <w:p w:rsidR="00DB06DA" w:rsidRPr="00B43F6B" w:rsidRDefault="00C746C7" w:rsidP="003E77B4">
      <w:pPr>
        <w:pStyle w:val="Heading3"/>
        <w:spacing w:before="120" w:after="120"/>
        <w:ind w:left="1440"/>
        <w:rPr>
          <w:color w:val="365F91" w:themeColor="accent1" w:themeShade="BF"/>
          <w:sz w:val="26"/>
          <w:szCs w:val="26"/>
          <w:lang w:val="mk-MK"/>
        </w:rPr>
      </w:pPr>
      <w:bookmarkStart w:id="28" w:name="_Toc498020904"/>
      <w:r w:rsidRPr="00B43F6B">
        <w:rPr>
          <w:color w:val="365F91" w:themeColor="accent1" w:themeShade="BF"/>
          <w:sz w:val="26"/>
          <w:szCs w:val="26"/>
          <w:lang w:val="mk-MK"/>
        </w:rPr>
        <w:lastRenderedPageBreak/>
        <w:t>Табела за оценка</w:t>
      </w:r>
      <w:bookmarkEnd w:id="28"/>
      <w:r w:rsidRPr="00B43F6B">
        <w:rPr>
          <w:color w:val="365F91" w:themeColor="accent1" w:themeShade="BF"/>
          <w:sz w:val="26"/>
          <w:szCs w:val="26"/>
          <w:lang w:val="mk-MK"/>
        </w:rPr>
        <w:t xml:space="preserve"> </w:t>
      </w:r>
    </w:p>
    <w:tbl>
      <w:tblPr>
        <w:tblStyle w:val="TableGrid"/>
        <w:tblW w:w="9018" w:type="dxa"/>
        <w:tblLook w:val="04A0" w:firstRow="1" w:lastRow="0" w:firstColumn="1" w:lastColumn="0" w:noHBand="0" w:noVBand="1"/>
      </w:tblPr>
      <w:tblGrid>
        <w:gridCol w:w="7128"/>
        <w:gridCol w:w="1890"/>
      </w:tblGrid>
      <w:tr w:rsidR="00CE1857" w:rsidRPr="00B43F6B" w:rsidTr="00F43DE1">
        <w:tc>
          <w:tcPr>
            <w:tcW w:w="7128" w:type="dxa"/>
            <w:shd w:val="clear" w:color="auto" w:fill="A6A6A6" w:themeFill="background1" w:themeFillShade="A6"/>
          </w:tcPr>
          <w:p w:rsidR="00CE1857" w:rsidRPr="00B43F6B" w:rsidRDefault="00C746C7" w:rsidP="001F7557">
            <w:pPr>
              <w:jc w:val="both"/>
              <w:rPr>
                <w:rFonts w:ascii="Calibri" w:hAnsi="Calibri"/>
                <w:lang w:val="mk-MK"/>
              </w:rPr>
            </w:pPr>
            <w:r w:rsidRPr="00B43F6B">
              <w:rPr>
                <w:rFonts w:ascii="Calibri" w:hAnsi="Calibri"/>
                <w:lang w:val="mk-MK"/>
              </w:rPr>
              <w:t>Секција</w:t>
            </w:r>
          </w:p>
        </w:tc>
        <w:tc>
          <w:tcPr>
            <w:tcW w:w="1890" w:type="dxa"/>
            <w:shd w:val="clear" w:color="auto" w:fill="A6A6A6" w:themeFill="background1" w:themeFillShade="A6"/>
          </w:tcPr>
          <w:p w:rsidR="00CE1857" w:rsidRPr="00B43F6B" w:rsidRDefault="00C746C7" w:rsidP="00C746C7">
            <w:pPr>
              <w:jc w:val="both"/>
              <w:rPr>
                <w:rFonts w:ascii="Calibri" w:hAnsi="Calibri"/>
                <w:lang w:val="mk-MK"/>
              </w:rPr>
            </w:pPr>
            <w:r w:rsidRPr="00B43F6B">
              <w:rPr>
                <w:rFonts w:ascii="Calibri" w:hAnsi="Calibri"/>
                <w:lang w:val="mk-MK"/>
              </w:rPr>
              <w:t xml:space="preserve">Максимални бодови </w:t>
            </w:r>
          </w:p>
        </w:tc>
      </w:tr>
      <w:tr w:rsidR="00CE1857" w:rsidRPr="00B43F6B" w:rsidTr="00F43DE1">
        <w:tc>
          <w:tcPr>
            <w:tcW w:w="7128" w:type="dxa"/>
            <w:shd w:val="clear" w:color="auto" w:fill="BFBFBF" w:themeFill="background1" w:themeFillShade="BF"/>
          </w:tcPr>
          <w:p w:rsidR="00CE1857" w:rsidRPr="00B43F6B" w:rsidRDefault="00CE1857" w:rsidP="00C746C7">
            <w:pPr>
              <w:jc w:val="both"/>
              <w:rPr>
                <w:rFonts w:ascii="Calibri" w:hAnsi="Calibri"/>
                <w:lang w:val="mk-MK"/>
              </w:rPr>
            </w:pPr>
            <w:r w:rsidRPr="00B43F6B">
              <w:rPr>
                <w:rFonts w:ascii="Calibri" w:hAnsi="Calibri"/>
                <w:lang w:val="mk-MK"/>
              </w:rPr>
              <w:t xml:space="preserve">1. </w:t>
            </w:r>
            <w:r w:rsidR="00C746C7" w:rsidRPr="00B43F6B">
              <w:rPr>
                <w:rFonts w:ascii="Calibri" w:hAnsi="Calibri"/>
                <w:lang w:val="mk-MK"/>
              </w:rPr>
              <w:t xml:space="preserve">Финансиски и </w:t>
            </w:r>
            <w:r w:rsidR="00AE299D" w:rsidRPr="00B43F6B">
              <w:rPr>
                <w:rFonts w:ascii="Calibri" w:hAnsi="Calibri"/>
                <w:lang w:val="mk-MK"/>
              </w:rPr>
              <w:t>оперативен</w:t>
            </w:r>
            <w:r w:rsidR="00C746C7" w:rsidRPr="00B43F6B">
              <w:rPr>
                <w:rFonts w:ascii="Calibri" w:hAnsi="Calibri"/>
                <w:lang w:val="mk-MK"/>
              </w:rPr>
              <w:t xml:space="preserve"> капацитет </w:t>
            </w:r>
          </w:p>
        </w:tc>
        <w:tc>
          <w:tcPr>
            <w:tcW w:w="1890" w:type="dxa"/>
            <w:shd w:val="clear" w:color="auto" w:fill="BFBFBF" w:themeFill="background1" w:themeFillShade="BF"/>
          </w:tcPr>
          <w:p w:rsidR="00CE1857" w:rsidRPr="00B43F6B" w:rsidRDefault="00CE1857" w:rsidP="001021F4">
            <w:pPr>
              <w:jc w:val="center"/>
              <w:rPr>
                <w:rFonts w:ascii="Calibri" w:hAnsi="Calibri"/>
                <w:lang w:val="mk-MK"/>
              </w:rPr>
            </w:pPr>
            <w:r w:rsidRPr="00B43F6B">
              <w:rPr>
                <w:rFonts w:ascii="Calibri" w:hAnsi="Calibri"/>
                <w:lang w:val="mk-MK"/>
              </w:rPr>
              <w:t>15</w:t>
            </w:r>
          </w:p>
        </w:tc>
      </w:tr>
      <w:tr w:rsidR="00CE1857" w:rsidRPr="00B43F6B" w:rsidTr="00F43DE1">
        <w:tc>
          <w:tcPr>
            <w:tcW w:w="7128" w:type="dxa"/>
          </w:tcPr>
          <w:p w:rsidR="00CE1857" w:rsidRPr="00B43F6B" w:rsidRDefault="00CE1857" w:rsidP="00C32770">
            <w:pPr>
              <w:ind w:right="-18"/>
              <w:jc w:val="both"/>
              <w:rPr>
                <w:rFonts w:ascii="Calibri" w:hAnsi="Calibri"/>
                <w:lang w:val="mk-MK"/>
              </w:rPr>
            </w:pPr>
            <w:r w:rsidRPr="00B43F6B">
              <w:rPr>
                <w:rFonts w:ascii="Calibri" w:hAnsi="Calibri"/>
                <w:lang w:val="mk-MK"/>
              </w:rPr>
              <w:t xml:space="preserve">1.1 </w:t>
            </w:r>
            <w:r w:rsidR="00C32770" w:rsidRPr="00B43F6B">
              <w:rPr>
                <w:rFonts w:ascii="Calibri" w:hAnsi="Calibri"/>
                <w:lang w:val="mk-MK"/>
              </w:rPr>
              <w:t>Дали апликантот (</w:t>
            </w:r>
            <w:r w:rsidR="00C32770" w:rsidRPr="00B43F6B">
              <w:rPr>
                <w:rFonts w:ascii="Calibri" w:hAnsi="Calibri"/>
                <w:i/>
                <w:lang w:val="mk-MK"/>
              </w:rPr>
              <w:t>и партнерите</w:t>
            </w:r>
            <w:r w:rsidR="00C32770" w:rsidRPr="00B43F6B">
              <w:rPr>
                <w:rFonts w:ascii="Calibri" w:hAnsi="Calibri"/>
                <w:lang w:val="mk-MK"/>
              </w:rPr>
              <w:t>) има доволно искуство? (</w:t>
            </w:r>
            <w:r w:rsidR="00C32770" w:rsidRPr="00B43F6B">
              <w:rPr>
                <w:rFonts w:ascii="Calibri" w:hAnsi="Calibri"/>
                <w:i/>
                <w:lang w:val="mk-MK"/>
              </w:rPr>
              <w:t>особено за прашањата што треба да се обработат</w:t>
            </w:r>
            <w:r w:rsidR="00C32770" w:rsidRPr="00B43F6B">
              <w:rPr>
                <w:rFonts w:ascii="Calibri" w:hAnsi="Calibri"/>
                <w:lang w:val="mk-MK"/>
              </w:rPr>
              <w:t xml:space="preserve">)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w:t>
            </w:r>
          </w:p>
        </w:tc>
      </w:tr>
      <w:tr w:rsidR="00CE1857" w:rsidRPr="00B43F6B" w:rsidTr="00F43DE1">
        <w:tc>
          <w:tcPr>
            <w:tcW w:w="7128" w:type="dxa"/>
          </w:tcPr>
          <w:p w:rsidR="00CE1857" w:rsidRPr="00B43F6B" w:rsidRDefault="00CE1857" w:rsidP="00C32770">
            <w:pPr>
              <w:ind w:right="-18"/>
              <w:jc w:val="both"/>
              <w:rPr>
                <w:rFonts w:ascii="Calibri" w:hAnsi="Calibri"/>
                <w:lang w:val="mk-MK"/>
              </w:rPr>
            </w:pPr>
            <w:r w:rsidRPr="00B43F6B">
              <w:rPr>
                <w:rFonts w:ascii="Calibri" w:hAnsi="Calibri"/>
                <w:lang w:val="mk-MK"/>
              </w:rPr>
              <w:t xml:space="preserve">1.2 </w:t>
            </w:r>
            <w:r w:rsidR="00C32770" w:rsidRPr="00B43F6B">
              <w:rPr>
                <w:rFonts w:ascii="Calibri" w:hAnsi="Calibri"/>
                <w:lang w:val="mk-MK"/>
              </w:rPr>
              <w:t>Дали апликантот (</w:t>
            </w:r>
            <w:r w:rsidR="00C32770" w:rsidRPr="00B43F6B">
              <w:rPr>
                <w:rFonts w:ascii="Calibri" w:hAnsi="Calibri"/>
                <w:i/>
                <w:lang w:val="mk-MK"/>
              </w:rPr>
              <w:t>и партнерите</w:t>
            </w:r>
            <w:r w:rsidR="00C32770" w:rsidRPr="00B43F6B">
              <w:rPr>
                <w:rFonts w:ascii="Calibri" w:hAnsi="Calibri"/>
                <w:lang w:val="mk-MK"/>
              </w:rPr>
              <w:t>) има доволно техничко искуство? (</w:t>
            </w:r>
            <w:r w:rsidR="00C32770" w:rsidRPr="00B43F6B">
              <w:rPr>
                <w:rFonts w:ascii="Calibri" w:hAnsi="Calibri"/>
                <w:i/>
                <w:lang w:val="mk-MK"/>
              </w:rPr>
              <w:t>особено знаење за прашањата што треба да се обработат</w:t>
            </w:r>
            <w:r w:rsidR="00C32770" w:rsidRPr="00B43F6B">
              <w:rPr>
                <w:rFonts w:ascii="Calibri" w:hAnsi="Calibri"/>
                <w:lang w:val="mk-MK"/>
              </w:rPr>
              <w:t xml:space="preserve">)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w:t>
            </w:r>
          </w:p>
        </w:tc>
      </w:tr>
      <w:tr w:rsidR="00CE1857" w:rsidRPr="00B43F6B" w:rsidTr="00F43DE1">
        <w:tc>
          <w:tcPr>
            <w:tcW w:w="7128" w:type="dxa"/>
          </w:tcPr>
          <w:p w:rsidR="00CE1857" w:rsidRPr="00B43F6B" w:rsidRDefault="00CE1857" w:rsidP="00C32770">
            <w:pPr>
              <w:ind w:right="-18"/>
              <w:jc w:val="both"/>
              <w:rPr>
                <w:rFonts w:ascii="Calibri" w:hAnsi="Calibri"/>
                <w:lang w:val="mk-MK"/>
              </w:rPr>
            </w:pPr>
            <w:r w:rsidRPr="00B43F6B">
              <w:rPr>
                <w:rFonts w:ascii="Calibri" w:hAnsi="Calibri"/>
                <w:lang w:val="mk-MK"/>
              </w:rPr>
              <w:t xml:space="preserve">1.4 </w:t>
            </w:r>
            <w:r w:rsidR="00C32770" w:rsidRPr="00B43F6B">
              <w:rPr>
                <w:rFonts w:ascii="Calibri" w:hAnsi="Calibri"/>
                <w:lang w:val="mk-MK"/>
              </w:rPr>
              <w:t>Дали апликантот има стабилни и доволни извори на човечки и финансиски ресурси</w:t>
            </w:r>
            <w:r w:rsidRPr="00B43F6B">
              <w:rPr>
                <w:rFonts w:ascii="Calibri" w:hAnsi="Calibri"/>
                <w:lang w:val="mk-MK"/>
              </w:rPr>
              <w:t xml:space="preserve">?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w:t>
            </w:r>
          </w:p>
        </w:tc>
      </w:tr>
      <w:tr w:rsidR="00CE1857" w:rsidRPr="00B43F6B" w:rsidTr="00F43DE1">
        <w:tc>
          <w:tcPr>
            <w:tcW w:w="7128" w:type="dxa"/>
            <w:shd w:val="clear" w:color="auto" w:fill="BFBFBF" w:themeFill="background1" w:themeFillShade="BF"/>
          </w:tcPr>
          <w:p w:rsidR="00CE1857" w:rsidRPr="00B43F6B" w:rsidRDefault="00CE1857" w:rsidP="00C32770">
            <w:pPr>
              <w:ind w:right="-18"/>
              <w:jc w:val="both"/>
              <w:rPr>
                <w:rFonts w:ascii="Calibri" w:hAnsi="Calibri"/>
                <w:lang w:val="mk-MK"/>
              </w:rPr>
            </w:pPr>
            <w:r w:rsidRPr="00B43F6B">
              <w:rPr>
                <w:rFonts w:ascii="Calibri" w:hAnsi="Calibri"/>
                <w:lang w:val="mk-MK"/>
              </w:rPr>
              <w:t xml:space="preserve">2. </w:t>
            </w:r>
            <w:r w:rsidR="00C32770" w:rsidRPr="00B43F6B">
              <w:rPr>
                <w:rFonts w:ascii="Calibri" w:hAnsi="Calibri"/>
                <w:lang w:val="mk-MK"/>
              </w:rPr>
              <w:t xml:space="preserve">Релевантност </w:t>
            </w:r>
          </w:p>
        </w:tc>
        <w:tc>
          <w:tcPr>
            <w:tcW w:w="1890" w:type="dxa"/>
            <w:shd w:val="clear" w:color="auto" w:fill="BFBFBF" w:themeFill="background1" w:themeFillShade="BF"/>
          </w:tcPr>
          <w:p w:rsidR="00CE1857" w:rsidRPr="00B43F6B" w:rsidRDefault="00CE1857" w:rsidP="001021F4">
            <w:pPr>
              <w:jc w:val="center"/>
              <w:rPr>
                <w:rFonts w:ascii="Calibri" w:hAnsi="Calibri"/>
                <w:lang w:val="mk-MK"/>
              </w:rPr>
            </w:pPr>
            <w:r w:rsidRPr="00B43F6B">
              <w:rPr>
                <w:rFonts w:ascii="Calibri" w:hAnsi="Calibri"/>
                <w:lang w:val="mk-MK"/>
              </w:rPr>
              <w:t>25</w:t>
            </w:r>
          </w:p>
        </w:tc>
      </w:tr>
      <w:tr w:rsidR="00CE1857" w:rsidRPr="00B43F6B" w:rsidTr="00F43DE1">
        <w:tc>
          <w:tcPr>
            <w:tcW w:w="7128" w:type="dxa"/>
          </w:tcPr>
          <w:p w:rsidR="00CE1857" w:rsidRPr="00B43F6B" w:rsidRDefault="00CE1857" w:rsidP="00A97FA5">
            <w:pPr>
              <w:ind w:right="-18"/>
              <w:jc w:val="both"/>
              <w:rPr>
                <w:rFonts w:ascii="Calibri" w:hAnsi="Calibri"/>
                <w:lang w:val="mk-MK"/>
              </w:rPr>
            </w:pPr>
            <w:r w:rsidRPr="00B43F6B">
              <w:rPr>
                <w:rFonts w:ascii="Calibri" w:hAnsi="Calibri"/>
                <w:lang w:val="mk-MK"/>
              </w:rPr>
              <w:t xml:space="preserve">2.1 </w:t>
            </w:r>
            <w:r w:rsidR="00A97FA5" w:rsidRPr="00B43F6B">
              <w:rPr>
                <w:rFonts w:ascii="Calibri" w:hAnsi="Calibri"/>
                <w:lang w:val="mk-MK"/>
              </w:rPr>
              <w:t xml:space="preserve">Колку е релевантен предлогот во однос на целите и на еден или повеќе од проектните показатели наведени во повикот за поднесување понуди?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 x 2</w:t>
            </w:r>
          </w:p>
        </w:tc>
      </w:tr>
      <w:tr w:rsidR="00CE1857" w:rsidRPr="00B43F6B" w:rsidTr="00F43DE1">
        <w:tc>
          <w:tcPr>
            <w:tcW w:w="7128" w:type="dxa"/>
          </w:tcPr>
          <w:p w:rsidR="00CE1857" w:rsidRPr="00B43F6B" w:rsidRDefault="00CE1857" w:rsidP="00A97FA5">
            <w:pPr>
              <w:ind w:right="-18"/>
              <w:jc w:val="both"/>
              <w:rPr>
                <w:rFonts w:ascii="Calibri" w:hAnsi="Calibri"/>
                <w:lang w:val="mk-MK"/>
              </w:rPr>
            </w:pPr>
            <w:r w:rsidRPr="00B43F6B">
              <w:rPr>
                <w:rFonts w:ascii="Calibri" w:hAnsi="Calibri"/>
                <w:lang w:val="mk-MK"/>
              </w:rPr>
              <w:t xml:space="preserve">2.2 </w:t>
            </w:r>
            <w:r w:rsidR="00A97FA5" w:rsidRPr="00B43F6B">
              <w:rPr>
                <w:rFonts w:ascii="Calibri" w:hAnsi="Calibri"/>
                <w:lang w:val="mk-MK"/>
              </w:rPr>
              <w:t>Колку е релевантен предлогот во однос на посебните потреби и потешкотии во целната земја/земји или регион(региони)? (</w:t>
            </w:r>
            <w:r w:rsidR="00A97FA5" w:rsidRPr="00B43F6B">
              <w:rPr>
                <w:rFonts w:ascii="Calibri" w:hAnsi="Calibri"/>
                <w:i/>
                <w:lang w:val="mk-MK"/>
              </w:rPr>
              <w:t>вклучително и избегнување на дуплирањето и синергија со други иницијативи</w:t>
            </w:r>
            <w:r w:rsidR="00A97FA5" w:rsidRPr="00B43F6B">
              <w:rPr>
                <w:rFonts w:ascii="Calibri" w:hAnsi="Calibri"/>
                <w:lang w:val="mk-MK"/>
              </w:rPr>
              <w:t xml:space="preserve">)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 x 2</w:t>
            </w:r>
          </w:p>
        </w:tc>
      </w:tr>
      <w:tr w:rsidR="00CE1857" w:rsidRPr="00B43F6B" w:rsidTr="00F43DE1">
        <w:tc>
          <w:tcPr>
            <w:tcW w:w="7128" w:type="dxa"/>
          </w:tcPr>
          <w:p w:rsidR="00CE1857" w:rsidRPr="00B43F6B" w:rsidRDefault="00CE1857" w:rsidP="00A97FA5">
            <w:pPr>
              <w:jc w:val="both"/>
              <w:rPr>
                <w:rFonts w:ascii="Calibri" w:hAnsi="Calibri"/>
                <w:lang w:val="mk-MK"/>
              </w:rPr>
            </w:pPr>
            <w:r w:rsidRPr="00B43F6B">
              <w:rPr>
                <w:rFonts w:ascii="Calibri" w:hAnsi="Calibri"/>
                <w:lang w:val="mk-MK"/>
              </w:rPr>
              <w:t xml:space="preserve">2.3 </w:t>
            </w:r>
            <w:r w:rsidR="00A97FA5" w:rsidRPr="00B43F6B">
              <w:rPr>
                <w:rFonts w:ascii="Calibri" w:hAnsi="Calibri"/>
                <w:lang w:val="mk-MK"/>
              </w:rPr>
              <w:t>Колку се јасно дефинирани и стратешки избрани оние што се вклучени (</w:t>
            </w:r>
            <w:r w:rsidR="00A97FA5" w:rsidRPr="00B43F6B">
              <w:rPr>
                <w:rFonts w:ascii="Calibri" w:hAnsi="Calibri"/>
                <w:i/>
                <w:lang w:val="mk-MK"/>
              </w:rPr>
              <w:t>крајни корисници, целни групи</w:t>
            </w:r>
            <w:r w:rsidR="00A97FA5" w:rsidRPr="00B43F6B">
              <w:rPr>
                <w:rFonts w:ascii="Calibri" w:hAnsi="Calibri"/>
                <w:lang w:val="mk-MK"/>
              </w:rPr>
              <w:t xml:space="preserve">)? Дали нивните потреби се јасно дефинирани и дали предлогот соодветно се осврнува кон нив?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w:t>
            </w:r>
          </w:p>
        </w:tc>
      </w:tr>
      <w:tr w:rsidR="00CE1857" w:rsidRPr="00B43F6B" w:rsidTr="00F43DE1">
        <w:tc>
          <w:tcPr>
            <w:tcW w:w="7128" w:type="dxa"/>
            <w:shd w:val="clear" w:color="auto" w:fill="BFBFBF" w:themeFill="background1" w:themeFillShade="BF"/>
          </w:tcPr>
          <w:p w:rsidR="00CE1857" w:rsidRPr="00B43F6B" w:rsidRDefault="00CE1857" w:rsidP="00A97FA5">
            <w:pPr>
              <w:ind w:right="-18"/>
              <w:jc w:val="both"/>
              <w:rPr>
                <w:rFonts w:ascii="Calibri" w:hAnsi="Calibri"/>
                <w:lang w:val="mk-MK"/>
              </w:rPr>
            </w:pPr>
            <w:r w:rsidRPr="00B43F6B">
              <w:rPr>
                <w:rFonts w:ascii="Calibri" w:hAnsi="Calibri"/>
                <w:lang w:val="mk-MK"/>
              </w:rPr>
              <w:t xml:space="preserve">3. </w:t>
            </w:r>
            <w:r w:rsidR="00A97FA5" w:rsidRPr="00B43F6B">
              <w:rPr>
                <w:rFonts w:ascii="Calibri" w:hAnsi="Calibri"/>
                <w:lang w:val="mk-MK"/>
              </w:rPr>
              <w:t xml:space="preserve">Методологија </w:t>
            </w:r>
          </w:p>
        </w:tc>
        <w:tc>
          <w:tcPr>
            <w:tcW w:w="1890" w:type="dxa"/>
            <w:shd w:val="clear" w:color="auto" w:fill="BFBFBF" w:themeFill="background1" w:themeFillShade="BF"/>
          </w:tcPr>
          <w:p w:rsidR="00CE1857" w:rsidRPr="00B43F6B" w:rsidRDefault="00CE1857" w:rsidP="001021F4">
            <w:pPr>
              <w:jc w:val="center"/>
              <w:rPr>
                <w:rFonts w:ascii="Calibri" w:hAnsi="Calibri"/>
                <w:lang w:val="mk-MK"/>
              </w:rPr>
            </w:pPr>
            <w:r w:rsidRPr="00B43F6B">
              <w:rPr>
                <w:rFonts w:ascii="Calibri" w:hAnsi="Calibri"/>
                <w:lang w:val="mk-MK"/>
              </w:rPr>
              <w:t>30</w:t>
            </w:r>
          </w:p>
        </w:tc>
      </w:tr>
      <w:tr w:rsidR="00CE1857" w:rsidRPr="00B43F6B" w:rsidTr="00F43DE1">
        <w:tc>
          <w:tcPr>
            <w:tcW w:w="7128" w:type="dxa"/>
          </w:tcPr>
          <w:p w:rsidR="00CE1857" w:rsidRPr="00B43F6B" w:rsidRDefault="00CE1857" w:rsidP="00A97FA5">
            <w:pPr>
              <w:jc w:val="both"/>
              <w:rPr>
                <w:rFonts w:ascii="Calibri" w:hAnsi="Calibri"/>
                <w:lang w:val="mk-MK"/>
              </w:rPr>
            </w:pPr>
            <w:r w:rsidRPr="00B43F6B">
              <w:rPr>
                <w:rFonts w:ascii="Calibri" w:hAnsi="Calibri"/>
                <w:lang w:val="mk-MK"/>
              </w:rPr>
              <w:t>3.1</w:t>
            </w:r>
            <w:r w:rsidR="00A97FA5" w:rsidRPr="00B43F6B">
              <w:rPr>
                <w:rFonts w:ascii="Calibri" w:hAnsi="Calibri"/>
                <w:lang w:val="mk-MK"/>
              </w:rPr>
              <w:t xml:space="preserve"> Дали предложените активности се соодветни, практични и  конзистентни со целите и очекуваните резултати? </w:t>
            </w:r>
            <w:r w:rsidRPr="00B43F6B">
              <w:rPr>
                <w:rFonts w:ascii="Calibri" w:hAnsi="Calibri"/>
                <w:lang w:val="mk-MK"/>
              </w:rPr>
              <w:t xml:space="preserve">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w:t>
            </w:r>
          </w:p>
        </w:tc>
      </w:tr>
      <w:tr w:rsidR="00CE1857" w:rsidRPr="00B43F6B" w:rsidTr="00F43DE1">
        <w:tc>
          <w:tcPr>
            <w:tcW w:w="7128" w:type="dxa"/>
          </w:tcPr>
          <w:p w:rsidR="00CE1857" w:rsidRPr="00B43F6B" w:rsidRDefault="00CE1857" w:rsidP="00A97FA5">
            <w:pPr>
              <w:ind w:right="-18"/>
              <w:jc w:val="both"/>
              <w:rPr>
                <w:rFonts w:ascii="Calibri" w:hAnsi="Calibri"/>
                <w:lang w:val="mk-MK"/>
              </w:rPr>
            </w:pPr>
            <w:r w:rsidRPr="00B43F6B">
              <w:rPr>
                <w:rFonts w:ascii="Calibri" w:hAnsi="Calibri"/>
                <w:lang w:val="mk-MK"/>
              </w:rPr>
              <w:t xml:space="preserve">3.2 </w:t>
            </w:r>
            <w:r w:rsidR="00A97FA5" w:rsidRPr="00B43F6B">
              <w:rPr>
                <w:rFonts w:ascii="Calibri" w:hAnsi="Calibri"/>
                <w:lang w:val="mk-MK"/>
              </w:rPr>
              <w:t xml:space="preserve">Колку е кохерентен целокупниот дизајн на </w:t>
            </w:r>
            <w:r w:rsidR="00AE299D" w:rsidRPr="00B43F6B">
              <w:rPr>
                <w:rFonts w:ascii="Calibri" w:hAnsi="Calibri"/>
                <w:lang w:val="mk-MK"/>
              </w:rPr>
              <w:t>акцијата</w:t>
            </w:r>
            <w:r w:rsidR="00A97FA5" w:rsidRPr="00B43F6B">
              <w:rPr>
                <w:rFonts w:ascii="Calibri" w:hAnsi="Calibri"/>
                <w:lang w:val="mk-MK"/>
              </w:rPr>
              <w:t>? (</w:t>
            </w:r>
            <w:r w:rsidR="00A97FA5" w:rsidRPr="00B43F6B">
              <w:rPr>
                <w:rFonts w:ascii="Calibri" w:hAnsi="Calibri"/>
                <w:i/>
                <w:lang w:val="mk-MK"/>
              </w:rPr>
              <w:t xml:space="preserve">особено, дали во </w:t>
            </w:r>
            <w:r w:rsidR="00AE299D" w:rsidRPr="00B43F6B">
              <w:rPr>
                <w:rFonts w:ascii="Calibri" w:hAnsi="Calibri"/>
                <w:i/>
                <w:lang w:val="mk-MK"/>
              </w:rPr>
              <w:t>неа</w:t>
            </w:r>
            <w:r w:rsidR="00A97FA5" w:rsidRPr="00B43F6B">
              <w:rPr>
                <w:rFonts w:ascii="Calibri" w:hAnsi="Calibri"/>
                <w:i/>
                <w:lang w:val="mk-MK"/>
              </w:rPr>
              <w:t xml:space="preserve"> се огледува анализата на опфатените проблеми, дали предвид се земени надворешните фактори и дали се предвидува оценување</w:t>
            </w:r>
            <w:r w:rsidR="00A97FA5" w:rsidRPr="00B43F6B">
              <w:rPr>
                <w:rFonts w:ascii="Calibri" w:hAnsi="Calibri"/>
                <w:lang w:val="mk-MK"/>
              </w:rPr>
              <w:t>?)</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 x 2</w:t>
            </w:r>
          </w:p>
        </w:tc>
      </w:tr>
      <w:tr w:rsidR="00CE1857" w:rsidRPr="00B43F6B" w:rsidTr="00F43DE1">
        <w:tc>
          <w:tcPr>
            <w:tcW w:w="7128" w:type="dxa"/>
          </w:tcPr>
          <w:p w:rsidR="00CE1857" w:rsidRPr="00B43F6B" w:rsidRDefault="00CE1857" w:rsidP="001B5948">
            <w:pPr>
              <w:ind w:right="-18"/>
              <w:jc w:val="both"/>
              <w:rPr>
                <w:rFonts w:ascii="Calibri" w:hAnsi="Calibri"/>
                <w:lang w:val="mk-MK"/>
              </w:rPr>
            </w:pPr>
            <w:r w:rsidRPr="00B43F6B">
              <w:rPr>
                <w:rFonts w:ascii="Calibri" w:hAnsi="Calibri"/>
                <w:lang w:val="mk-MK"/>
              </w:rPr>
              <w:t xml:space="preserve">3.3 </w:t>
            </w:r>
            <w:r w:rsidR="00A97FA5" w:rsidRPr="00B43F6B">
              <w:rPr>
                <w:rFonts w:ascii="Calibri" w:hAnsi="Calibri"/>
                <w:lang w:val="mk-MK"/>
              </w:rPr>
              <w:t>Дали апликантот формира партнерство со друг</w:t>
            </w:r>
            <w:r w:rsidR="001B5948" w:rsidRPr="00B43F6B">
              <w:rPr>
                <w:rFonts w:ascii="Calibri" w:hAnsi="Calibri"/>
                <w:lang w:val="mk-MK"/>
              </w:rPr>
              <w:t xml:space="preserve">а локална, национална или меѓународна организација во рамките на повикот за поднесување понуди?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w:t>
            </w:r>
          </w:p>
        </w:tc>
      </w:tr>
      <w:tr w:rsidR="00CE1857" w:rsidRPr="00B43F6B" w:rsidTr="00F43DE1">
        <w:tc>
          <w:tcPr>
            <w:tcW w:w="7128" w:type="dxa"/>
          </w:tcPr>
          <w:p w:rsidR="00CE1857" w:rsidRPr="00B43F6B" w:rsidRDefault="00CE1857" w:rsidP="00496542">
            <w:pPr>
              <w:ind w:right="-18"/>
              <w:jc w:val="both"/>
              <w:rPr>
                <w:rFonts w:ascii="Calibri" w:hAnsi="Calibri"/>
                <w:lang w:val="mk-MK"/>
              </w:rPr>
            </w:pPr>
            <w:r w:rsidRPr="00B43F6B">
              <w:rPr>
                <w:rFonts w:ascii="Calibri" w:hAnsi="Calibri"/>
                <w:lang w:val="mk-MK"/>
              </w:rPr>
              <w:t xml:space="preserve">3.4 </w:t>
            </w:r>
            <w:r w:rsidR="00496542" w:rsidRPr="00B43F6B">
              <w:rPr>
                <w:rFonts w:ascii="Calibri" w:hAnsi="Calibri"/>
                <w:lang w:val="mk-MK"/>
              </w:rPr>
              <w:t xml:space="preserve">Дали нивото на вклученост и учество на партнерите во акцијата е на задоволително ниво?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w:t>
            </w:r>
          </w:p>
        </w:tc>
      </w:tr>
      <w:tr w:rsidR="00CE1857" w:rsidRPr="00B43F6B" w:rsidTr="00F43DE1">
        <w:tc>
          <w:tcPr>
            <w:tcW w:w="7128" w:type="dxa"/>
          </w:tcPr>
          <w:p w:rsidR="00CE1857" w:rsidRPr="00B43F6B" w:rsidRDefault="00F3564D" w:rsidP="00496542">
            <w:pPr>
              <w:ind w:right="-18"/>
              <w:jc w:val="both"/>
              <w:rPr>
                <w:rFonts w:ascii="Calibri" w:hAnsi="Calibri"/>
                <w:lang w:val="mk-MK"/>
              </w:rPr>
            </w:pPr>
            <w:r w:rsidRPr="00B43F6B">
              <w:rPr>
                <w:rFonts w:ascii="Calibri" w:hAnsi="Calibri"/>
                <w:lang w:val="mk-MK"/>
              </w:rPr>
              <w:t>3.5</w:t>
            </w:r>
            <w:r w:rsidR="00496542" w:rsidRPr="00B43F6B">
              <w:rPr>
                <w:rFonts w:ascii="Calibri" w:hAnsi="Calibri"/>
                <w:lang w:val="mk-MK"/>
              </w:rPr>
              <w:t xml:space="preserve"> Дали предлогот содржи објективно верификувани показатели за исходот на акцијата?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w:t>
            </w:r>
          </w:p>
        </w:tc>
      </w:tr>
      <w:tr w:rsidR="00CE1857" w:rsidRPr="00B43F6B" w:rsidTr="00F43DE1">
        <w:tc>
          <w:tcPr>
            <w:tcW w:w="7128" w:type="dxa"/>
            <w:shd w:val="clear" w:color="auto" w:fill="BFBFBF" w:themeFill="background1" w:themeFillShade="BF"/>
          </w:tcPr>
          <w:p w:rsidR="00CE1857" w:rsidRPr="00B43F6B" w:rsidRDefault="00CE1857" w:rsidP="00496542">
            <w:pPr>
              <w:ind w:right="-18"/>
              <w:jc w:val="both"/>
              <w:rPr>
                <w:rFonts w:ascii="Calibri" w:hAnsi="Calibri"/>
                <w:lang w:val="mk-MK"/>
              </w:rPr>
            </w:pPr>
            <w:r w:rsidRPr="00B43F6B">
              <w:rPr>
                <w:rFonts w:ascii="Calibri" w:hAnsi="Calibri"/>
                <w:lang w:val="mk-MK"/>
              </w:rPr>
              <w:t xml:space="preserve">4. </w:t>
            </w:r>
            <w:r w:rsidR="00496542" w:rsidRPr="00B43F6B">
              <w:rPr>
                <w:rFonts w:ascii="Calibri" w:hAnsi="Calibri"/>
                <w:lang w:val="mk-MK"/>
              </w:rPr>
              <w:t xml:space="preserve">Одржливост </w:t>
            </w:r>
          </w:p>
        </w:tc>
        <w:tc>
          <w:tcPr>
            <w:tcW w:w="1890" w:type="dxa"/>
            <w:shd w:val="clear" w:color="auto" w:fill="BFBFBF" w:themeFill="background1" w:themeFillShade="BF"/>
          </w:tcPr>
          <w:p w:rsidR="00CE1857" w:rsidRPr="00B43F6B" w:rsidRDefault="00CE1857" w:rsidP="001021F4">
            <w:pPr>
              <w:jc w:val="center"/>
              <w:rPr>
                <w:rFonts w:ascii="Calibri" w:hAnsi="Calibri"/>
                <w:lang w:val="mk-MK"/>
              </w:rPr>
            </w:pPr>
            <w:r w:rsidRPr="00B43F6B">
              <w:rPr>
                <w:rFonts w:ascii="Calibri" w:hAnsi="Calibri"/>
                <w:lang w:val="mk-MK"/>
              </w:rPr>
              <w:t>15</w:t>
            </w:r>
          </w:p>
        </w:tc>
      </w:tr>
      <w:tr w:rsidR="00CE1857" w:rsidRPr="00B43F6B" w:rsidTr="00F43DE1">
        <w:tc>
          <w:tcPr>
            <w:tcW w:w="7128" w:type="dxa"/>
          </w:tcPr>
          <w:p w:rsidR="00CE1857" w:rsidRPr="00B43F6B" w:rsidRDefault="00CE1857" w:rsidP="009D4472">
            <w:pPr>
              <w:ind w:right="-18"/>
              <w:jc w:val="both"/>
              <w:rPr>
                <w:rFonts w:ascii="Calibri" w:hAnsi="Calibri"/>
                <w:lang w:val="mk-MK"/>
              </w:rPr>
            </w:pPr>
            <w:r w:rsidRPr="00B43F6B">
              <w:rPr>
                <w:rFonts w:ascii="Calibri" w:hAnsi="Calibri"/>
                <w:lang w:val="mk-MK"/>
              </w:rPr>
              <w:t xml:space="preserve">4.1 </w:t>
            </w:r>
            <w:r w:rsidR="009D4472" w:rsidRPr="00B43F6B">
              <w:rPr>
                <w:rFonts w:ascii="Calibri" w:hAnsi="Calibri"/>
                <w:lang w:val="mk-MK"/>
              </w:rPr>
              <w:t xml:space="preserve">Дали акцијата веројатно ќе има опипливо влијание врз своите целни групи?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w:t>
            </w:r>
          </w:p>
        </w:tc>
      </w:tr>
      <w:tr w:rsidR="00CE1857" w:rsidRPr="00B43F6B" w:rsidTr="00F43DE1">
        <w:tc>
          <w:tcPr>
            <w:tcW w:w="7128" w:type="dxa"/>
          </w:tcPr>
          <w:p w:rsidR="00CE1857" w:rsidRPr="00B43F6B" w:rsidRDefault="00CE1857" w:rsidP="009D4472">
            <w:pPr>
              <w:ind w:right="-18"/>
              <w:jc w:val="both"/>
              <w:rPr>
                <w:rFonts w:ascii="Calibri" w:hAnsi="Calibri"/>
                <w:lang w:val="mk-MK"/>
              </w:rPr>
            </w:pPr>
            <w:r w:rsidRPr="00B43F6B">
              <w:rPr>
                <w:rFonts w:ascii="Calibri" w:hAnsi="Calibri"/>
                <w:lang w:val="mk-MK"/>
              </w:rPr>
              <w:t xml:space="preserve">4.2 </w:t>
            </w:r>
            <w:r w:rsidR="009D4472" w:rsidRPr="00B43F6B">
              <w:rPr>
                <w:rFonts w:ascii="Calibri" w:hAnsi="Calibri"/>
                <w:lang w:val="mk-MK"/>
              </w:rPr>
              <w:t xml:space="preserve">Дали предлогот веројатно ќе има </w:t>
            </w:r>
            <w:r w:rsidR="00AE299D" w:rsidRPr="00B43F6B">
              <w:rPr>
                <w:rFonts w:ascii="Calibri" w:hAnsi="Calibri"/>
                <w:lang w:val="mk-MK"/>
              </w:rPr>
              <w:t>повеќекратни</w:t>
            </w:r>
            <w:r w:rsidR="009D4472" w:rsidRPr="00B43F6B">
              <w:rPr>
                <w:rFonts w:ascii="Calibri" w:hAnsi="Calibri"/>
                <w:lang w:val="mk-MK"/>
              </w:rPr>
              <w:t xml:space="preserve"> ефекти? (</w:t>
            </w:r>
            <w:r w:rsidR="009D4472" w:rsidRPr="00B43F6B">
              <w:rPr>
                <w:rFonts w:ascii="Calibri" w:hAnsi="Calibri"/>
                <w:i/>
                <w:lang w:val="mk-MK"/>
              </w:rPr>
              <w:t xml:space="preserve">вклучително и опфатот за репликација и проширување на исходот на акцијата и дистрибуција на </w:t>
            </w:r>
            <w:r w:rsidR="00AE299D" w:rsidRPr="00B43F6B">
              <w:rPr>
                <w:rFonts w:ascii="Calibri" w:hAnsi="Calibri"/>
                <w:i/>
                <w:lang w:val="mk-MK"/>
              </w:rPr>
              <w:t>информациите</w:t>
            </w:r>
            <w:r w:rsidR="009D4472" w:rsidRPr="00B43F6B">
              <w:rPr>
                <w:rFonts w:ascii="Calibri" w:hAnsi="Calibri"/>
                <w:lang w:val="mk-MK"/>
              </w:rPr>
              <w:t>)</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w:t>
            </w:r>
          </w:p>
        </w:tc>
      </w:tr>
      <w:tr w:rsidR="00CE1857" w:rsidRPr="00B43F6B" w:rsidTr="00F43DE1">
        <w:tc>
          <w:tcPr>
            <w:tcW w:w="7128" w:type="dxa"/>
          </w:tcPr>
          <w:p w:rsidR="009D4472" w:rsidRPr="00B43F6B" w:rsidRDefault="00CE1857" w:rsidP="001F7557">
            <w:pPr>
              <w:ind w:right="-18"/>
              <w:jc w:val="both"/>
              <w:rPr>
                <w:rFonts w:ascii="Calibri" w:hAnsi="Calibri"/>
                <w:lang w:val="mk-MK"/>
              </w:rPr>
            </w:pPr>
            <w:r w:rsidRPr="00B43F6B">
              <w:rPr>
                <w:rFonts w:ascii="Calibri" w:hAnsi="Calibri"/>
                <w:lang w:val="mk-MK"/>
              </w:rPr>
              <w:lastRenderedPageBreak/>
              <w:t xml:space="preserve">4.3 </w:t>
            </w:r>
            <w:r w:rsidR="009D4472" w:rsidRPr="00B43F6B">
              <w:rPr>
                <w:rFonts w:ascii="Calibri" w:hAnsi="Calibri"/>
                <w:lang w:val="mk-MK"/>
              </w:rPr>
              <w:t xml:space="preserve">Дали очекуваните резултати на предложената акција се одржливи: </w:t>
            </w:r>
          </w:p>
          <w:p w:rsidR="00CE1857" w:rsidRPr="00B43F6B" w:rsidRDefault="00CE1857" w:rsidP="009D4472">
            <w:pPr>
              <w:ind w:right="-18"/>
              <w:jc w:val="both"/>
              <w:rPr>
                <w:rFonts w:ascii="Calibri" w:hAnsi="Calibri"/>
                <w:lang w:val="mk-MK"/>
              </w:rPr>
            </w:pPr>
            <w:r w:rsidRPr="00B43F6B">
              <w:rPr>
                <w:rFonts w:ascii="Calibri" w:hAnsi="Calibri"/>
                <w:lang w:val="mk-MK"/>
              </w:rPr>
              <w:t xml:space="preserve">       - </w:t>
            </w:r>
            <w:r w:rsidR="009D4472" w:rsidRPr="00B43F6B">
              <w:rPr>
                <w:rFonts w:ascii="Calibri" w:hAnsi="Calibri"/>
                <w:lang w:val="mk-MK"/>
              </w:rPr>
              <w:t>финансиски (</w:t>
            </w:r>
            <w:r w:rsidR="009D4472" w:rsidRPr="00B43F6B">
              <w:rPr>
                <w:rFonts w:ascii="Calibri" w:hAnsi="Calibri"/>
                <w:i/>
                <w:lang w:val="mk-MK"/>
              </w:rPr>
              <w:t>како ќе се финансираат активностите откако ќе заврши грантовото финансирање</w:t>
            </w:r>
            <w:r w:rsidR="009D4472" w:rsidRPr="00B43F6B">
              <w:rPr>
                <w:rFonts w:ascii="Calibri" w:hAnsi="Calibri"/>
                <w:lang w:val="mk-MK"/>
              </w:rPr>
              <w:t xml:space="preserve">?) </w:t>
            </w:r>
          </w:p>
          <w:p w:rsidR="009D4472" w:rsidRPr="00B43F6B" w:rsidRDefault="00CE1857" w:rsidP="009D4472">
            <w:pPr>
              <w:ind w:right="-18"/>
              <w:jc w:val="both"/>
              <w:rPr>
                <w:rFonts w:ascii="Calibri" w:hAnsi="Calibri"/>
                <w:lang w:val="mk-MK"/>
              </w:rPr>
            </w:pPr>
            <w:r w:rsidRPr="00B43F6B">
              <w:rPr>
                <w:rFonts w:ascii="Calibri" w:hAnsi="Calibri"/>
                <w:lang w:val="mk-MK"/>
              </w:rPr>
              <w:t xml:space="preserve">       - </w:t>
            </w:r>
            <w:r w:rsidR="009D4472" w:rsidRPr="00B43F6B">
              <w:rPr>
                <w:rFonts w:ascii="Calibri" w:hAnsi="Calibri"/>
                <w:lang w:val="mk-MK"/>
              </w:rPr>
              <w:t>институционално (</w:t>
            </w:r>
            <w:r w:rsidR="009D4472" w:rsidRPr="00B43F6B">
              <w:rPr>
                <w:rFonts w:ascii="Calibri" w:hAnsi="Calibri"/>
                <w:i/>
                <w:lang w:val="mk-MK"/>
              </w:rPr>
              <w:t xml:space="preserve">дали структурите што им овозможуваат на </w:t>
            </w:r>
            <w:r w:rsidR="00AE299D" w:rsidRPr="00B43F6B">
              <w:rPr>
                <w:rFonts w:ascii="Calibri" w:hAnsi="Calibri"/>
                <w:i/>
                <w:lang w:val="mk-MK"/>
              </w:rPr>
              <w:t>активностите</w:t>
            </w:r>
            <w:r w:rsidR="009D4472" w:rsidRPr="00B43F6B">
              <w:rPr>
                <w:rFonts w:ascii="Calibri" w:hAnsi="Calibri"/>
                <w:i/>
                <w:lang w:val="mk-MK"/>
              </w:rPr>
              <w:t xml:space="preserve"> да продолжат ќе бидат на сила</w:t>
            </w:r>
            <w:r w:rsidR="009D4472" w:rsidRPr="00B43F6B">
              <w:rPr>
                <w:rFonts w:ascii="Calibri" w:hAnsi="Calibri"/>
                <w:lang w:val="mk-MK"/>
              </w:rPr>
              <w:t>?)</w:t>
            </w:r>
          </w:p>
          <w:p w:rsidR="00CE1857" w:rsidRPr="00B43F6B" w:rsidRDefault="00CE1857" w:rsidP="00B91378">
            <w:pPr>
              <w:ind w:right="-18"/>
              <w:jc w:val="both"/>
              <w:rPr>
                <w:rFonts w:ascii="Calibri" w:hAnsi="Calibri"/>
                <w:lang w:val="mk-MK"/>
              </w:rPr>
            </w:pPr>
            <w:r w:rsidRPr="00B43F6B">
              <w:rPr>
                <w:rFonts w:ascii="Calibri" w:hAnsi="Calibri"/>
                <w:lang w:val="mk-MK"/>
              </w:rPr>
              <w:t xml:space="preserve">      - </w:t>
            </w:r>
            <w:r w:rsidR="009D4472" w:rsidRPr="00B43F6B">
              <w:rPr>
                <w:rFonts w:ascii="Calibri" w:hAnsi="Calibri"/>
                <w:lang w:val="mk-MK"/>
              </w:rPr>
              <w:t>на ниво на политики (</w:t>
            </w:r>
            <w:r w:rsidR="00B91378" w:rsidRPr="00B43F6B">
              <w:rPr>
                <w:rFonts w:ascii="Calibri" w:hAnsi="Calibri"/>
                <w:i/>
                <w:lang w:val="mk-MK"/>
              </w:rPr>
              <w:t>онаму каде што може да се примени</w:t>
            </w:r>
            <w:r w:rsidR="00B91378" w:rsidRPr="00B43F6B">
              <w:rPr>
                <w:rFonts w:ascii="Calibri" w:hAnsi="Calibri"/>
                <w:lang w:val="mk-MK"/>
              </w:rPr>
              <w:t>) (</w:t>
            </w:r>
            <w:r w:rsidR="00B91378" w:rsidRPr="00B43F6B">
              <w:rPr>
                <w:rFonts w:ascii="Calibri" w:hAnsi="Calibri"/>
                <w:i/>
                <w:lang w:val="mk-MK"/>
              </w:rPr>
              <w:t xml:space="preserve">какво ќе биде структурното </w:t>
            </w:r>
            <w:r w:rsidR="00AE299D" w:rsidRPr="00B43F6B">
              <w:rPr>
                <w:rFonts w:ascii="Calibri" w:hAnsi="Calibri"/>
                <w:i/>
                <w:lang w:val="mk-MK"/>
              </w:rPr>
              <w:t>влијание</w:t>
            </w:r>
            <w:r w:rsidR="00B91378" w:rsidRPr="00B43F6B">
              <w:rPr>
                <w:rFonts w:ascii="Calibri" w:hAnsi="Calibri"/>
                <w:i/>
                <w:lang w:val="mk-MK"/>
              </w:rPr>
              <w:t xml:space="preserve"> на акцијата – на пр. дали ќе доведе до подобрено законодавство, кодекс на однесување, методи, итн.</w:t>
            </w:r>
            <w:r w:rsidR="00B91378" w:rsidRPr="00B43F6B">
              <w:rPr>
                <w:rFonts w:ascii="Calibri" w:hAnsi="Calibri"/>
                <w:lang w:val="mk-MK"/>
              </w:rPr>
              <w:t xml:space="preserve">?)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w:t>
            </w:r>
          </w:p>
        </w:tc>
      </w:tr>
      <w:tr w:rsidR="00CE1857" w:rsidRPr="00B43F6B" w:rsidTr="00F43DE1">
        <w:tc>
          <w:tcPr>
            <w:tcW w:w="7128" w:type="dxa"/>
            <w:shd w:val="clear" w:color="auto" w:fill="BFBFBF" w:themeFill="background1" w:themeFillShade="BF"/>
          </w:tcPr>
          <w:p w:rsidR="00CE1857" w:rsidRPr="00B43F6B" w:rsidRDefault="00CE1857" w:rsidP="00B91378">
            <w:pPr>
              <w:ind w:right="-18"/>
              <w:jc w:val="both"/>
              <w:rPr>
                <w:rFonts w:ascii="Calibri" w:hAnsi="Calibri"/>
                <w:lang w:val="mk-MK"/>
              </w:rPr>
            </w:pPr>
            <w:r w:rsidRPr="00B43F6B">
              <w:rPr>
                <w:rFonts w:ascii="Calibri" w:hAnsi="Calibri"/>
                <w:lang w:val="mk-MK"/>
              </w:rPr>
              <w:t xml:space="preserve">5. </w:t>
            </w:r>
            <w:r w:rsidR="00B91378" w:rsidRPr="00B43F6B">
              <w:rPr>
                <w:rFonts w:ascii="Calibri" w:hAnsi="Calibri"/>
                <w:lang w:val="mk-MK"/>
              </w:rPr>
              <w:t xml:space="preserve">Буџет и ефикасност на трошоците </w:t>
            </w:r>
          </w:p>
        </w:tc>
        <w:tc>
          <w:tcPr>
            <w:tcW w:w="1890" w:type="dxa"/>
            <w:shd w:val="clear" w:color="auto" w:fill="BFBFBF" w:themeFill="background1" w:themeFillShade="BF"/>
          </w:tcPr>
          <w:p w:rsidR="00CE1857" w:rsidRPr="00B43F6B" w:rsidRDefault="00CE1857" w:rsidP="001021F4">
            <w:pPr>
              <w:jc w:val="center"/>
              <w:rPr>
                <w:rFonts w:ascii="Calibri" w:hAnsi="Calibri"/>
                <w:lang w:val="mk-MK"/>
              </w:rPr>
            </w:pPr>
            <w:r w:rsidRPr="00B43F6B">
              <w:rPr>
                <w:rFonts w:ascii="Calibri" w:hAnsi="Calibri"/>
                <w:lang w:val="mk-MK"/>
              </w:rPr>
              <w:t>15</w:t>
            </w:r>
          </w:p>
        </w:tc>
      </w:tr>
      <w:tr w:rsidR="00CE1857" w:rsidRPr="00B43F6B" w:rsidTr="00F43DE1">
        <w:tc>
          <w:tcPr>
            <w:tcW w:w="7128" w:type="dxa"/>
          </w:tcPr>
          <w:p w:rsidR="00CE1857" w:rsidRPr="00B43F6B" w:rsidRDefault="00CE1857" w:rsidP="00B91378">
            <w:pPr>
              <w:ind w:right="-18"/>
              <w:jc w:val="both"/>
              <w:rPr>
                <w:rFonts w:ascii="Calibri" w:hAnsi="Calibri"/>
                <w:lang w:val="mk-MK"/>
              </w:rPr>
            </w:pPr>
            <w:r w:rsidRPr="00B43F6B">
              <w:rPr>
                <w:rFonts w:ascii="Calibri" w:hAnsi="Calibri"/>
                <w:lang w:val="mk-MK"/>
              </w:rPr>
              <w:t xml:space="preserve">5.1 </w:t>
            </w:r>
            <w:r w:rsidR="00B91378" w:rsidRPr="00B43F6B">
              <w:rPr>
                <w:rFonts w:ascii="Calibri" w:hAnsi="Calibri"/>
                <w:lang w:val="mk-MK"/>
              </w:rPr>
              <w:t xml:space="preserve">Дали односот помеѓу проценетите трошоци и очекуваните резултати е на задоволително ниво?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5x2</w:t>
            </w:r>
          </w:p>
        </w:tc>
      </w:tr>
      <w:tr w:rsidR="00CE1857" w:rsidRPr="00B43F6B" w:rsidTr="00F43DE1">
        <w:tc>
          <w:tcPr>
            <w:tcW w:w="7128" w:type="dxa"/>
          </w:tcPr>
          <w:p w:rsidR="00CE1857" w:rsidRPr="00B43F6B" w:rsidRDefault="00CE1857" w:rsidP="00B91378">
            <w:pPr>
              <w:ind w:right="-18"/>
              <w:jc w:val="both"/>
              <w:rPr>
                <w:rFonts w:ascii="Calibri" w:hAnsi="Calibri"/>
                <w:lang w:val="mk-MK"/>
              </w:rPr>
            </w:pPr>
            <w:r w:rsidRPr="00B43F6B">
              <w:rPr>
                <w:rFonts w:ascii="Calibri" w:hAnsi="Calibri"/>
                <w:lang w:val="mk-MK"/>
              </w:rPr>
              <w:t xml:space="preserve">5.2 </w:t>
            </w:r>
            <w:r w:rsidR="00B91378" w:rsidRPr="00B43F6B">
              <w:rPr>
                <w:rFonts w:ascii="Calibri" w:hAnsi="Calibri"/>
                <w:lang w:val="mk-MK"/>
              </w:rPr>
              <w:t xml:space="preserve">Дали предложените расходи се неопходни за спроведување на акцијата? </w:t>
            </w:r>
          </w:p>
        </w:tc>
        <w:tc>
          <w:tcPr>
            <w:tcW w:w="1890" w:type="dxa"/>
          </w:tcPr>
          <w:p w:rsidR="00CE1857" w:rsidRPr="00B43F6B" w:rsidRDefault="00CE1857" w:rsidP="001021F4">
            <w:pPr>
              <w:jc w:val="center"/>
              <w:rPr>
                <w:rFonts w:ascii="Calibri" w:hAnsi="Calibri"/>
                <w:lang w:val="mk-MK"/>
              </w:rPr>
            </w:pPr>
            <w:r w:rsidRPr="00B43F6B">
              <w:rPr>
                <w:rFonts w:ascii="Calibri" w:hAnsi="Calibri"/>
                <w:lang w:val="mk-MK"/>
              </w:rPr>
              <w:t>5</w:t>
            </w:r>
          </w:p>
        </w:tc>
      </w:tr>
      <w:tr w:rsidR="00CE1857" w:rsidRPr="00B43F6B" w:rsidTr="00F43DE1">
        <w:tc>
          <w:tcPr>
            <w:tcW w:w="7128" w:type="dxa"/>
            <w:shd w:val="clear" w:color="auto" w:fill="A6A6A6" w:themeFill="background1" w:themeFillShade="A6"/>
          </w:tcPr>
          <w:p w:rsidR="00CE1857" w:rsidRPr="00B43F6B" w:rsidRDefault="00B91378" w:rsidP="00B91378">
            <w:pPr>
              <w:ind w:right="-18"/>
              <w:jc w:val="both"/>
              <w:rPr>
                <w:rFonts w:ascii="Calibri" w:hAnsi="Calibri"/>
                <w:lang w:val="mk-MK"/>
              </w:rPr>
            </w:pPr>
            <w:r w:rsidRPr="00B43F6B">
              <w:rPr>
                <w:rFonts w:ascii="Calibri" w:hAnsi="Calibri"/>
                <w:lang w:val="mk-MK"/>
              </w:rPr>
              <w:t xml:space="preserve">Максимум вкупни бодови </w:t>
            </w:r>
          </w:p>
        </w:tc>
        <w:tc>
          <w:tcPr>
            <w:tcW w:w="1890" w:type="dxa"/>
            <w:shd w:val="clear" w:color="auto" w:fill="A6A6A6" w:themeFill="background1" w:themeFillShade="A6"/>
          </w:tcPr>
          <w:p w:rsidR="00CE1857" w:rsidRPr="00B43F6B" w:rsidRDefault="00CE1857" w:rsidP="001021F4">
            <w:pPr>
              <w:jc w:val="center"/>
              <w:rPr>
                <w:rFonts w:ascii="Calibri" w:hAnsi="Calibri"/>
                <w:lang w:val="mk-MK"/>
              </w:rPr>
            </w:pPr>
            <w:r w:rsidRPr="00B43F6B">
              <w:rPr>
                <w:rFonts w:ascii="Calibri" w:hAnsi="Calibri"/>
                <w:lang w:val="mk-MK"/>
              </w:rPr>
              <w:t>100</w:t>
            </w:r>
          </w:p>
        </w:tc>
      </w:tr>
    </w:tbl>
    <w:p w:rsidR="00DB06DA" w:rsidRPr="00B43F6B" w:rsidRDefault="00B91378" w:rsidP="0005048C">
      <w:pPr>
        <w:pStyle w:val="Heading2"/>
        <w:spacing w:before="360" w:after="240"/>
        <w:ind w:left="994" w:hanging="634"/>
        <w:rPr>
          <w:color w:val="365F91" w:themeColor="accent1" w:themeShade="BF"/>
          <w:lang w:val="mk-MK"/>
        </w:rPr>
      </w:pPr>
      <w:bookmarkStart w:id="29" w:name="_Toc498020905"/>
      <w:r w:rsidRPr="00B43F6B">
        <w:rPr>
          <w:color w:val="365F91" w:themeColor="accent1" w:themeShade="BF"/>
          <w:lang w:val="mk-MK"/>
        </w:rPr>
        <w:t>Договор за доделување грант и исплати</w:t>
      </w:r>
      <w:bookmarkEnd w:id="29"/>
      <w:r w:rsidRPr="00B43F6B">
        <w:rPr>
          <w:color w:val="365F91" w:themeColor="accent1" w:themeShade="BF"/>
          <w:lang w:val="mk-MK"/>
        </w:rPr>
        <w:t xml:space="preserve"> </w:t>
      </w:r>
    </w:p>
    <w:p w:rsidR="00DD0EAC" w:rsidRPr="00B43F6B" w:rsidRDefault="00DD0EAC" w:rsidP="000B293E">
      <w:pPr>
        <w:jc w:val="both"/>
        <w:rPr>
          <w:rFonts w:ascii="Calibri" w:hAnsi="Calibri"/>
          <w:lang w:val="mk-MK"/>
        </w:rPr>
      </w:pPr>
      <w:r w:rsidRPr="00B43F6B">
        <w:rPr>
          <w:rFonts w:ascii="Calibri" w:hAnsi="Calibri"/>
          <w:lang w:val="mk-MK"/>
        </w:rPr>
        <w:t xml:space="preserve">Доделувањето на договорите за грантови и исплатите ќе се спроведуваат во </w:t>
      </w:r>
      <w:r w:rsidR="00764829">
        <w:rPr>
          <w:rFonts w:ascii="Calibri" w:hAnsi="Calibri"/>
          <w:lang w:val="mk-MK"/>
        </w:rPr>
        <w:t>јануари 2018</w:t>
      </w:r>
      <w:r w:rsidRPr="00B43F6B">
        <w:rPr>
          <w:rFonts w:ascii="Calibri" w:hAnsi="Calibri"/>
          <w:lang w:val="mk-MK"/>
        </w:rPr>
        <w:t xml:space="preserve">.  </w:t>
      </w:r>
      <w:r w:rsidR="004C1EBE" w:rsidRPr="00B43F6B">
        <w:rPr>
          <w:rFonts w:ascii="Calibri" w:hAnsi="Calibri"/>
          <w:lang w:val="mk-MK"/>
        </w:rPr>
        <w:t xml:space="preserve">Во зависност од проектниот предлог и буџетот, </w:t>
      </w:r>
      <w:r w:rsidR="00AE299D" w:rsidRPr="00B43F6B">
        <w:rPr>
          <w:rFonts w:ascii="Calibri" w:hAnsi="Calibri"/>
          <w:lang w:val="mk-MK"/>
        </w:rPr>
        <w:t>доделувањата</w:t>
      </w:r>
      <w:r w:rsidR="004C1EBE" w:rsidRPr="00B43F6B">
        <w:rPr>
          <w:rFonts w:ascii="Calibri" w:hAnsi="Calibri"/>
          <w:lang w:val="mk-MK"/>
        </w:rPr>
        <w:t xml:space="preserve"> на средствата од грантот ќе се префрлат во две или три рати. Бројот</w:t>
      </w:r>
      <w:r w:rsidR="00AE299D">
        <w:rPr>
          <w:rFonts w:ascii="Calibri" w:hAnsi="Calibri"/>
          <w:lang w:val="mk-MK"/>
        </w:rPr>
        <w:t xml:space="preserve"> на рат</w:t>
      </w:r>
      <w:r w:rsidR="004C1EBE" w:rsidRPr="00B43F6B">
        <w:rPr>
          <w:rFonts w:ascii="Calibri" w:hAnsi="Calibri"/>
          <w:lang w:val="mk-MK"/>
        </w:rPr>
        <w:t xml:space="preserve">и ќе биде дефиниран во секој поединечен договор за грант. Апликантите треба буџетите да ги испратат во евра, заедно со нивните апликации, но, ратите на исплатата ќе бидат во локалната валута. </w:t>
      </w:r>
    </w:p>
    <w:p w:rsidR="00402F26" w:rsidRPr="00B43F6B" w:rsidRDefault="009B48E5" w:rsidP="000B293E">
      <w:pPr>
        <w:pStyle w:val="Heading2"/>
        <w:spacing w:before="240" w:after="240"/>
        <w:ind w:left="994" w:hanging="634"/>
        <w:rPr>
          <w:color w:val="365F91" w:themeColor="accent1" w:themeShade="BF"/>
          <w:lang w:val="mk-MK"/>
        </w:rPr>
      </w:pPr>
      <w:bookmarkStart w:id="30" w:name="_Toc498020906"/>
      <w:r w:rsidRPr="00B43F6B">
        <w:rPr>
          <w:color w:val="365F91" w:themeColor="accent1" w:themeShade="BF"/>
          <w:lang w:val="mk-MK"/>
        </w:rPr>
        <w:t>Известување</w:t>
      </w:r>
      <w:bookmarkEnd w:id="30"/>
      <w:r w:rsidRPr="00B43F6B">
        <w:rPr>
          <w:color w:val="365F91" w:themeColor="accent1" w:themeShade="BF"/>
          <w:lang w:val="mk-MK"/>
        </w:rPr>
        <w:t xml:space="preserve"> </w:t>
      </w:r>
    </w:p>
    <w:p w:rsidR="00554267" w:rsidRPr="00B43F6B" w:rsidRDefault="004C1EBE" w:rsidP="0005048C">
      <w:pPr>
        <w:spacing w:after="120"/>
        <w:jc w:val="both"/>
        <w:rPr>
          <w:rFonts w:ascii="Calibri" w:hAnsi="Calibri"/>
          <w:lang w:val="mk-MK"/>
        </w:rPr>
      </w:pPr>
      <w:r w:rsidRPr="00B43F6B">
        <w:rPr>
          <w:rFonts w:ascii="Calibri" w:hAnsi="Calibri"/>
          <w:lang w:val="mk-MK"/>
        </w:rPr>
        <w:t xml:space="preserve">Добитниците на грантови ќе </w:t>
      </w:r>
      <w:r w:rsidR="00AE299D" w:rsidRPr="00B43F6B">
        <w:rPr>
          <w:rFonts w:ascii="Calibri" w:hAnsi="Calibri"/>
          <w:lang w:val="mk-MK"/>
        </w:rPr>
        <w:t>достават</w:t>
      </w:r>
      <w:r w:rsidRPr="00B43F6B">
        <w:rPr>
          <w:rFonts w:ascii="Calibri" w:hAnsi="Calibri"/>
          <w:lang w:val="mk-MK"/>
        </w:rPr>
        <w:t xml:space="preserve"> Текстуални извештаи до следните датуми</w:t>
      </w:r>
      <w:r w:rsidR="00554267" w:rsidRPr="00B43F6B">
        <w:rPr>
          <w:rFonts w:ascii="Calibri" w:hAnsi="Calibri"/>
          <w:lang w:val="mk-MK"/>
        </w:rPr>
        <w:t>:</w:t>
      </w:r>
    </w:p>
    <w:p w:rsidR="00554267" w:rsidRPr="00B43F6B" w:rsidRDefault="004C1EBE" w:rsidP="0005048C">
      <w:pPr>
        <w:pStyle w:val="ListParagraph"/>
        <w:numPr>
          <w:ilvl w:val="0"/>
          <w:numId w:val="9"/>
        </w:numPr>
        <w:spacing w:after="120"/>
        <w:jc w:val="both"/>
        <w:rPr>
          <w:rFonts w:ascii="Calibri" w:hAnsi="Calibri"/>
          <w:lang w:val="mk-MK"/>
        </w:rPr>
      </w:pPr>
      <w:r w:rsidRPr="00B43F6B">
        <w:rPr>
          <w:rFonts w:ascii="Calibri" w:hAnsi="Calibri"/>
          <w:lang w:val="mk-MK"/>
        </w:rPr>
        <w:t>15 мај</w:t>
      </w:r>
      <w:r w:rsidR="00554267" w:rsidRPr="00B43F6B">
        <w:rPr>
          <w:rFonts w:ascii="Calibri" w:hAnsi="Calibri"/>
          <w:lang w:val="mk-MK"/>
        </w:rPr>
        <w:t>, 201</w:t>
      </w:r>
      <w:r w:rsidR="003E77B4" w:rsidRPr="00B43F6B">
        <w:rPr>
          <w:rFonts w:ascii="Calibri" w:hAnsi="Calibri"/>
          <w:lang w:val="mk-MK"/>
        </w:rPr>
        <w:t>8</w:t>
      </w:r>
      <w:r w:rsidR="00554267" w:rsidRPr="00B43F6B">
        <w:rPr>
          <w:rFonts w:ascii="Calibri" w:hAnsi="Calibri"/>
          <w:lang w:val="mk-MK"/>
        </w:rPr>
        <w:t xml:space="preserve"> (</w:t>
      </w:r>
      <w:r w:rsidRPr="00B43F6B">
        <w:rPr>
          <w:rFonts w:ascii="Calibri" w:hAnsi="Calibri"/>
          <w:lang w:val="mk-MK"/>
        </w:rPr>
        <w:t xml:space="preserve">го покрива периодот од февруари 2018 – април 2018) </w:t>
      </w:r>
    </w:p>
    <w:p w:rsidR="00554267" w:rsidRPr="00B43F6B" w:rsidRDefault="004C1EBE" w:rsidP="0005048C">
      <w:pPr>
        <w:pStyle w:val="ListParagraph"/>
        <w:numPr>
          <w:ilvl w:val="0"/>
          <w:numId w:val="9"/>
        </w:numPr>
        <w:spacing w:after="120"/>
        <w:jc w:val="both"/>
        <w:rPr>
          <w:rFonts w:ascii="Calibri" w:hAnsi="Calibri"/>
          <w:lang w:val="mk-MK"/>
        </w:rPr>
      </w:pPr>
      <w:r w:rsidRPr="00B43F6B">
        <w:rPr>
          <w:rFonts w:ascii="Calibri" w:hAnsi="Calibri"/>
          <w:lang w:val="mk-MK"/>
        </w:rPr>
        <w:t xml:space="preserve">15 јули, 2018 (го покрива периодот мај-јуни 2018) </w:t>
      </w:r>
    </w:p>
    <w:p w:rsidR="00A976F9" w:rsidRPr="00B43F6B" w:rsidRDefault="004C1EBE" w:rsidP="0005048C">
      <w:pPr>
        <w:pStyle w:val="ListParagraph"/>
        <w:numPr>
          <w:ilvl w:val="0"/>
          <w:numId w:val="9"/>
        </w:numPr>
        <w:spacing w:after="120"/>
        <w:jc w:val="both"/>
        <w:rPr>
          <w:rFonts w:ascii="Calibri" w:hAnsi="Calibri"/>
          <w:b/>
          <w:lang w:val="mk-MK"/>
        </w:rPr>
      </w:pPr>
      <w:r w:rsidRPr="00B43F6B">
        <w:rPr>
          <w:rFonts w:ascii="Calibri" w:hAnsi="Calibri"/>
          <w:b/>
          <w:lang w:val="mk-MK"/>
        </w:rPr>
        <w:t>15 ноември, 2018, Финалниот извештај на проектот</w:t>
      </w:r>
      <w:r w:rsidRPr="00B43F6B">
        <w:rPr>
          <w:rFonts w:ascii="Calibri" w:hAnsi="Calibri"/>
          <w:lang w:val="mk-MK"/>
        </w:rPr>
        <w:t xml:space="preserve"> </w:t>
      </w:r>
    </w:p>
    <w:p w:rsidR="00A976F9" w:rsidRPr="00B43F6B" w:rsidRDefault="00925AB7" w:rsidP="0005048C">
      <w:pPr>
        <w:spacing w:after="120"/>
        <w:jc w:val="both"/>
        <w:rPr>
          <w:rFonts w:ascii="Calibri" w:hAnsi="Calibri"/>
          <w:lang w:val="mk-MK"/>
        </w:rPr>
      </w:pPr>
      <w:r w:rsidRPr="00B43F6B">
        <w:rPr>
          <w:rFonts w:ascii="Calibri" w:hAnsi="Calibri"/>
          <w:lang w:val="mk-MK"/>
        </w:rPr>
        <w:t xml:space="preserve">Добитниците на грантови ќе </w:t>
      </w:r>
      <w:r w:rsidR="002F3B21" w:rsidRPr="00B43F6B">
        <w:rPr>
          <w:rFonts w:ascii="Calibri" w:hAnsi="Calibri"/>
          <w:lang w:val="mk-MK"/>
        </w:rPr>
        <w:t xml:space="preserve">поднесат </w:t>
      </w:r>
      <w:r w:rsidR="00AE299D" w:rsidRPr="00B43F6B">
        <w:rPr>
          <w:rFonts w:ascii="Calibri" w:hAnsi="Calibri"/>
          <w:lang w:val="mk-MK"/>
        </w:rPr>
        <w:t>финансиски</w:t>
      </w:r>
      <w:r w:rsidR="002F3B21" w:rsidRPr="00B43F6B">
        <w:rPr>
          <w:rFonts w:ascii="Calibri" w:hAnsi="Calibri"/>
          <w:lang w:val="mk-MK"/>
        </w:rPr>
        <w:t xml:space="preserve"> извештаи до следните датуми</w:t>
      </w:r>
      <w:r w:rsidR="00A976F9" w:rsidRPr="00B43F6B">
        <w:rPr>
          <w:rFonts w:ascii="Calibri" w:hAnsi="Calibri"/>
          <w:lang w:val="mk-MK"/>
        </w:rPr>
        <w:t>:</w:t>
      </w:r>
    </w:p>
    <w:p w:rsidR="00A976F9" w:rsidRPr="00B43F6B" w:rsidRDefault="002F3B21" w:rsidP="0005048C">
      <w:pPr>
        <w:pStyle w:val="ListParagraph"/>
        <w:numPr>
          <w:ilvl w:val="0"/>
          <w:numId w:val="9"/>
        </w:numPr>
        <w:spacing w:after="120"/>
        <w:jc w:val="both"/>
        <w:rPr>
          <w:rFonts w:ascii="Calibri" w:hAnsi="Calibri"/>
          <w:b/>
          <w:lang w:val="mk-MK"/>
        </w:rPr>
      </w:pPr>
      <w:r w:rsidRPr="00B43F6B">
        <w:rPr>
          <w:rFonts w:ascii="Calibri" w:hAnsi="Calibri"/>
          <w:b/>
          <w:lang w:val="mk-MK"/>
        </w:rPr>
        <w:t xml:space="preserve">15 јули, 2018 (за првите пет </w:t>
      </w:r>
      <w:r w:rsidR="00AE299D" w:rsidRPr="00B43F6B">
        <w:rPr>
          <w:rFonts w:ascii="Calibri" w:hAnsi="Calibri"/>
          <w:b/>
          <w:lang w:val="mk-MK"/>
        </w:rPr>
        <w:t>месеци</w:t>
      </w:r>
      <w:r w:rsidRPr="00B43F6B">
        <w:rPr>
          <w:rFonts w:ascii="Calibri" w:hAnsi="Calibri"/>
          <w:b/>
          <w:lang w:val="mk-MK"/>
        </w:rPr>
        <w:t xml:space="preserve"> од проектот) </w:t>
      </w:r>
    </w:p>
    <w:p w:rsidR="00A976F9" w:rsidRPr="00B43F6B" w:rsidRDefault="002F3B21" w:rsidP="0005048C">
      <w:pPr>
        <w:pStyle w:val="ListParagraph"/>
        <w:numPr>
          <w:ilvl w:val="0"/>
          <w:numId w:val="9"/>
        </w:numPr>
        <w:spacing w:after="120"/>
        <w:jc w:val="both"/>
        <w:rPr>
          <w:rFonts w:ascii="Calibri" w:hAnsi="Calibri"/>
          <w:b/>
          <w:lang w:val="mk-MK"/>
        </w:rPr>
      </w:pPr>
      <w:r w:rsidRPr="00B43F6B">
        <w:rPr>
          <w:rFonts w:ascii="Calibri" w:hAnsi="Calibri"/>
          <w:b/>
          <w:lang w:val="mk-MK"/>
        </w:rPr>
        <w:t xml:space="preserve">15 ноември, 2018, Финалниот извештај на </w:t>
      </w:r>
      <w:r w:rsidR="00AE299D" w:rsidRPr="00B43F6B">
        <w:rPr>
          <w:rFonts w:ascii="Calibri" w:hAnsi="Calibri"/>
          <w:b/>
          <w:lang w:val="mk-MK"/>
        </w:rPr>
        <w:t>проектот</w:t>
      </w:r>
      <w:r w:rsidRPr="00B43F6B">
        <w:rPr>
          <w:rFonts w:ascii="Calibri" w:hAnsi="Calibri"/>
          <w:b/>
          <w:lang w:val="mk-MK"/>
        </w:rPr>
        <w:t xml:space="preserve"> </w:t>
      </w:r>
    </w:p>
    <w:p w:rsidR="002F3B21" w:rsidRPr="00B43F6B" w:rsidRDefault="00A976F9" w:rsidP="0005048C">
      <w:pPr>
        <w:spacing w:after="120"/>
        <w:jc w:val="both"/>
        <w:rPr>
          <w:rFonts w:ascii="Calibri" w:hAnsi="Calibri"/>
          <w:lang w:val="mk-MK"/>
        </w:rPr>
      </w:pPr>
      <w:r w:rsidRPr="00B43F6B">
        <w:rPr>
          <w:rFonts w:ascii="Calibri" w:hAnsi="Calibri"/>
          <w:lang w:val="mk-MK"/>
        </w:rPr>
        <w:t xml:space="preserve">* </w:t>
      </w:r>
      <w:r w:rsidR="002F3B21" w:rsidRPr="00B43F6B">
        <w:rPr>
          <w:rFonts w:ascii="Calibri" w:hAnsi="Calibri"/>
          <w:lang w:val="mk-MK"/>
        </w:rPr>
        <w:t xml:space="preserve">Националниот проектен координатор може исто да побара информации за посебни временски периоди или проектни активности. </w:t>
      </w:r>
    </w:p>
    <w:p w:rsidR="00402F26" w:rsidRPr="00B43F6B" w:rsidRDefault="002F3B21" w:rsidP="000B293E">
      <w:pPr>
        <w:pStyle w:val="Heading2"/>
        <w:spacing w:before="240" w:after="240"/>
        <w:ind w:left="994" w:hanging="634"/>
        <w:rPr>
          <w:color w:val="365F91" w:themeColor="accent1" w:themeShade="BF"/>
          <w:lang w:val="mk-MK"/>
        </w:rPr>
      </w:pPr>
      <w:bookmarkStart w:id="31" w:name="_Toc498020907"/>
      <w:r w:rsidRPr="00B43F6B">
        <w:rPr>
          <w:color w:val="365F91" w:themeColor="accent1" w:themeShade="BF"/>
          <w:lang w:val="mk-MK"/>
        </w:rPr>
        <w:t>Мониторинг и евалуација</w:t>
      </w:r>
      <w:bookmarkEnd w:id="31"/>
      <w:r w:rsidRPr="00B43F6B">
        <w:rPr>
          <w:color w:val="365F91" w:themeColor="accent1" w:themeShade="BF"/>
          <w:lang w:val="mk-MK"/>
        </w:rPr>
        <w:t xml:space="preserve"> </w:t>
      </w:r>
    </w:p>
    <w:p w:rsidR="002F3B21" w:rsidRPr="00B43F6B" w:rsidRDefault="002F3B21" w:rsidP="003E77B4">
      <w:pPr>
        <w:widowControl w:val="0"/>
        <w:autoSpaceDE w:val="0"/>
        <w:autoSpaceDN w:val="0"/>
        <w:adjustRightInd w:val="0"/>
        <w:spacing w:after="120"/>
        <w:jc w:val="both"/>
        <w:rPr>
          <w:rFonts w:ascii="Calibri" w:hAnsi="Calibri"/>
          <w:lang w:val="mk-MK"/>
        </w:rPr>
      </w:pPr>
      <w:r w:rsidRPr="00B43F6B">
        <w:rPr>
          <w:rFonts w:ascii="Calibri" w:hAnsi="Calibri"/>
          <w:lang w:val="mk-MK"/>
        </w:rPr>
        <w:t xml:space="preserve">Националниот проектен координатор ќе го оценува напредокот на проектите во </w:t>
      </w:r>
      <w:r w:rsidRPr="00B43F6B">
        <w:rPr>
          <w:rFonts w:ascii="Calibri" w:hAnsi="Calibri"/>
          <w:lang w:val="mk-MK"/>
        </w:rPr>
        <w:lastRenderedPageBreak/>
        <w:t xml:space="preserve">текот на грантовиот период. </w:t>
      </w:r>
    </w:p>
    <w:p w:rsidR="002F3B21" w:rsidRPr="00B43F6B" w:rsidRDefault="002F3B21" w:rsidP="003E77B4">
      <w:pPr>
        <w:widowControl w:val="0"/>
        <w:autoSpaceDE w:val="0"/>
        <w:autoSpaceDN w:val="0"/>
        <w:adjustRightInd w:val="0"/>
        <w:spacing w:after="120"/>
        <w:jc w:val="both"/>
        <w:rPr>
          <w:rFonts w:ascii="Calibri" w:hAnsi="Calibri" w:cs="Calibri"/>
          <w:color w:val="1A1A1A"/>
          <w:lang w:val="mk-MK"/>
        </w:rPr>
      </w:pPr>
      <w:r w:rsidRPr="00B43F6B">
        <w:rPr>
          <w:rFonts w:ascii="Calibri" w:hAnsi="Calibri" w:cs="Calibri"/>
          <w:color w:val="1A1A1A"/>
          <w:lang w:val="mk-MK"/>
        </w:rPr>
        <w:t xml:space="preserve">Потребно е да се воспостави редовна комуникација со </w:t>
      </w:r>
      <w:r w:rsidRPr="00B43F6B">
        <w:rPr>
          <w:rFonts w:ascii="Calibri" w:hAnsi="Calibri"/>
          <w:lang w:val="mk-MK"/>
        </w:rPr>
        <w:t xml:space="preserve">Националниот проектен координатор. Освен телефонски повици, размена на електронска пошта и информирање за новостите, ќе се спроведуваат посети за мониторинг со цел да се изврши мониторинг врз проектните активности, односите на организациите од граѓанското општество со другите чинители, како и финансиското управување со грантот. За целите на остварување на проектните цели, Националниот проектен координатор </w:t>
      </w:r>
      <w:r w:rsidR="000B316E" w:rsidRPr="00B43F6B">
        <w:rPr>
          <w:rFonts w:ascii="Calibri" w:hAnsi="Calibri"/>
          <w:lang w:val="mk-MK"/>
        </w:rPr>
        <w:t xml:space="preserve">може да </w:t>
      </w:r>
      <w:r w:rsidR="00AE299D" w:rsidRPr="00B43F6B">
        <w:rPr>
          <w:rFonts w:ascii="Calibri" w:hAnsi="Calibri"/>
          <w:lang w:val="mk-MK"/>
        </w:rPr>
        <w:t>предложи</w:t>
      </w:r>
      <w:r w:rsidR="000B316E" w:rsidRPr="00B43F6B">
        <w:rPr>
          <w:rFonts w:ascii="Calibri" w:hAnsi="Calibri"/>
          <w:lang w:val="mk-MK"/>
        </w:rPr>
        <w:t xml:space="preserve"> прилагодувања на работниот план во согласност со добитниците на грантот. </w:t>
      </w:r>
    </w:p>
    <w:p w:rsidR="000B316E" w:rsidRPr="00B43F6B" w:rsidRDefault="00AE299D" w:rsidP="003E77B4">
      <w:pPr>
        <w:spacing w:after="120"/>
        <w:jc w:val="both"/>
        <w:rPr>
          <w:rFonts w:ascii="Calibri" w:hAnsi="Calibri" w:cs="Calibri"/>
          <w:color w:val="1A1A1A"/>
          <w:lang w:val="mk-MK"/>
        </w:rPr>
      </w:pPr>
      <w:r w:rsidRPr="00B43F6B">
        <w:rPr>
          <w:rFonts w:ascii="Calibri" w:hAnsi="Calibri" w:cs="Calibri"/>
          <w:color w:val="1A1A1A"/>
          <w:lang w:val="mk-MK"/>
        </w:rPr>
        <w:t>Апликанти</w:t>
      </w:r>
      <w:r>
        <w:rPr>
          <w:rFonts w:ascii="Calibri" w:hAnsi="Calibri" w:cs="Calibri"/>
          <w:color w:val="1A1A1A"/>
          <w:lang w:val="mk-MK"/>
        </w:rPr>
        <w:t>т</w:t>
      </w:r>
      <w:r w:rsidRPr="00B43F6B">
        <w:rPr>
          <w:rFonts w:ascii="Calibri" w:hAnsi="Calibri" w:cs="Calibri"/>
          <w:color w:val="1A1A1A"/>
          <w:lang w:val="mk-MK"/>
        </w:rPr>
        <w:t>е</w:t>
      </w:r>
      <w:r w:rsidR="000B316E" w:rsidRPr="00B43F6B">
        <w:rPr>
          <w:rFonts w:ascii="Calibri" w:hAnsi="Calibri" w:cs="Calibri"/>
          <w:color w:val="1A1A1A"/>
          <w:lang w:val="mk-MK"/>
        </w:rPr>
        <w:t xml:space="preserve"> треба во својот проектен дизајн да ги споменат показателите на успех и методите на мерење. </w:t>
      </w:r>
      <w:r w:rsidR="000B316E" w:rsidRPr="00B43F6B">
        <w:rPr>
          <w:rFonts w:ascii="Calibri" w:hAnsi="Calibri"/>
          <w:lang w:val="mk-MK"/>
        </w:rPr>
        <w:t xml:space="preserve">Националниот проектен координатор ќе ги оцени овие показатели, како и сите податоци собрани во текот на </w:t>
      </w:r>
      <w:r w:rsidRPr="00B43F6B">
        <w:rPr>
          <w:rFonts w:ascii="Calibri" w:hAnsi="Calibri"/>
          <w:lang w:val="mk-MK"/>
        </w:rPr>
        <w:t>времетраењето</w:t>
      </w:r>
      <w:r w:rsidR="000B316E" w:rsidRPr="00B43F6B">
        <w:rPr>
          <w:rFonts w:ascii="Calibri" w:hAnsi="Calibri"/>
          <w:lang w:val="mk-MK"/>
        </w:rPr>
        <w:t xml:space="preserve"> на проектот со цел да изврши мониторинг врз резултатите/исходите на проектните активности. </w:t>
      </w:r>
    </w:p>
    <w:p w:rsidR="000B316E" w:rsidRPr="00B43F6B" w:rsidRDefault="000B316E" w:rsidP="003E77B4">
      <w:pPr>
        <w:spacing w:after="120"/>
        <w:jc w:val="both"/>
        <w:rPr>
          <w:rFonts w:ascii="Calibri" w:hAnsi="Calibri"/>
          <w:lang w:val="mk-MK"/>
        </w:rPr>
      </w:pPr>
      <w:r w:rsidRPr="00B43F6B">
        <w:rPr>
          <w:rFonts w:ascii="Calibri" w:hAnsi="Calibri"/>
          <w:lang w:val="mk-MK"/>
        </w:rPr>
        <w:t xml:space="preserve">На средина на циклусот ќе се одржи средба за оценка, откако ќе изминат првите пет месеци од секој избран проект, како и финална средба на крајот на грантовиот </w:t>
      </w:r>
      <w:r w:rsidR="00AE299D" w:rsidRPr="00B43F6B">
        <w:rPr>
          <w:rFonts w:ascii="Calibri" w:hAnsi="Calibri"/>
          <w:lang w:val="mk-MK"/>
        </w:rPr>
        <w:t>период</w:t>
      </w:r>
      <w:r w:rsidRPr="00B43F6B">
        <w:rPr>
          <w:rFonts w:ascii="Calibri" w:hAnsi="Calibri"/>
          <w:lang w:val="mk-MK"/>
        </w:rPr>
        <w:t xml:space="preserve">. Проектните исходи ќе се оценуваат во рамките на </w:t>
      </w:r>
      <w:r w:rsidR="00AE299D" w:rsidRPr="00B43F6B">
        <w:rPr>
          <w:rFonts w:ascii="Calibri" w:hAnsi="Calibri"/>
          <w:lang w:val="mk-MK"/>
        </w:rPr>
        <w:t>показателите</w:t>
      </w:r>
      <w:r w:rsidRPr="00B43F6B">
        <w:rPr>
          <w:rFonts w:ascii="Calibri" w:hAnsi="Calibri"/>
          <w:lang w:val="mk-MK"/>
        </w:rPr>
        <w:t xml:space="preserve"> на успех на добитникот на грантот, во рамките на проектниот предлог, покрај целокупниот придонес кон Акцијата. </w:t>
      </w:r>
    </w:p>
    <w:p w:rsidR="00E25113" w:rsidRPr="00B43F6B" w:rsidRDefault="00E25113" w:rsidP="001F7557">
      <w:pPr>
        <w:jc w:val="both"/>
        <w:rPr>
          <w:rFonts w:ascii="Calibri" w:hAnsi="Calibri"/>
          <w:lang w:val="mk-MK"/>
        </w:rPr>
      </w:pPr>
    </w:p>
    <w:p w:rsidR="00E15181" w:rsidRPr="00B43F6B" w:rsidRDefault="000B316E" w:rsidP="001F7557">
      <w:pPr>
        <w:jc w:val="both"/>
        <w:rPr>
          <w:rFonts w:ascii="Calibri" w:hAnsi="Calibri"/>
          <w:lang w:val="mk-MK"/>
        </w:rPr>
      </w:pPr>
      <w:r w:rsidRPr="00B43F6B">
        <w:rPr>
          <w:rFonts w:ascii="Calibri" w:hAnsi="Calibri"/>
          <w:lang w:val="mk-MK"/>
        </w:rPr>
        <w:t>Анекси</w:t>
      </w:r>
      <w:r w:rsidR="006247DC" w:rsidRPr="00B43F6B">
        <w:rPr>
          <w:rFonts w:ascii="Calibri" w:hAnsi="Calibri"/>
          <w:lang w:val="mk-MK"/>
        </w:rPr>
        <w:t>:</w:t>
      </w:r>
    </w:p>
    <w:p w:rsidR="00E15181" w:rsidRPr="00B43F6B" w:rsidRDefault="00E15181" w:rsidP="001F7557">
      <w:pPr>
        <w:jc w:val="both"/>
        <w:rPr>
          <w:rFonts w:ascii="Calibri" w:hAnsi="Calibri"/>
          <w:lang w:val="mk-MK"/>
        </w:rPr>
      </w:pPr>
    </w:p>
    <w:p w:rsidR="006247DC" w:rsidRPr="00B43F6B" w:rsidRDefault="000B316E" w:rsidP="006E7857">
      <w:pPr>
        <w:pStyle w:val="ListParagraph"/>
        <w:numPr>
          <w:ilvl w:val="0"/>
          <w:numId w:val="8"/>
        </w:numPr>
        <w:spacing w:after="60"/>
        <w:contextualSpacing w:val="0"/>
        <w:jc w:val="both"/>
        <w:rPr>
          <w:rFonts w:ascii="Calibri" w:hAnsi="Calibri"/>
          <w:lang w:val="mk-MK"/>
        </w:rPr>
      </w:pPr>
      <w:r w:rsidRPr="00B43F6B">
        <w:rPr>
          <w:rFonts w:ascii="Calibri" w:hAnsi="Calibri"/>
          <w:lang w:val="mk-MK"/>
        </w:rPr>
        <w:t xml:space="preserve">Образец за апликација </w:t>
      </w:r>
    </w:p>
    <w:p w:rsidR="006247DC" w:rsidRPr="00B43F6B" w:rsidRDefault="000B316E" w:rsidP="006E7857">
      <w:pPr>
        <w:pStyle w:val="ListParagraph"/>
        <w:numPr>
          <w:ilvl w:val="0"/>
          <w:numId w:val="8"/>
        </w:numPr>
        <w:spacing w:after="60"/>
        <w:contextualSpacing w:val="0"/>
        <w:jc w:val="both"/>
        <w:rPr>
          <w:rFonts w:ascii="Calibri" w:hAnsi="Calibri"/>
          <w:lang w:val="mk-MK"/>
        </w:rPr>
      </w:pPr>
      <w:r w:rsidRPr="00B43F6B">
        <w:rPr>
          <w:rFonts w:ascii="Calibri" w:hAnsi="Calibri"/>
          <w:lang w:val="mk-MK"/>
        </w:rPr>
        <w:t xml:space="preserve">Образец за буџет </w:t>
      </w:r>
    </w:p>
    <w:p w:rsidR="000B316E" w:rsidRPr="00B43F6B" w:rsidRDefault="000B316E" w:rsidP="006E7857">
      <w:pPr>
        <w:pStyle w:val="ListParagraph"/>
        <w:numPr>
          <w:ilvl w:val="0"/>
          <w:numId w:val="8"/>
        </w:numPr>
        <w:spacing w:after="60"/>
        <w:contextualSpacing w:val="0"/>
        <w:jc w:val="both"/>
        <w:rPr>
          <w:rFonts w:ascii="Calibri" w:hAnsi="Calibri"/>
          <w:lang w:val="mk-MK"/>
        </w:rPr>
      </w:pPr>
      <w:r w:rsidRPr="00B43F6B">
        <w:rPr>
          <w:rFonts w:ascii="Calibri" w:hAnsi="Calibri"/>
          <w:lang w:val="mk-MK"/>
        </w:rPr>
        <w:t xml:space="preserve">Модел за текстуален извештај </w:t>
      </w:r>
    </w:p>
    <w:p w:rsidR="006247DC" w:rsidRPr="00B43F6B" w:rsidRDefault="00EA6E0A" w:rsidP="006E7857">
      <w:pPr>
        <w:pStyle w:val="ListParagraph"/>
        <w:numPr>
          <w:ilvl w:val="0"/>
          <w:numId w:val="8"/>
        </w:numPr>
        <w:spacing w:after="60"/>
        <w:contextualSpacing w:val="0"/>
        <w:jc w:val="both"/>
        <w:rPr>
          <w:rFonts w:ascii="Calibri" w:hAnsi="Calibri"/>
          <w:lang w:val="mk-MK"/>
        </w:rPr>
      </w:pPr>
      <w:r w:rsidRPr="00B43F6B">
        <w:rPr>
          <w:rFonts w:ascii="Calibri" w:hAnsi="Calibri"/>
          <w:lang w:val="mk-MK"/>
        </w:rPr>
        <w:t xml:space="preserve">Модел за финансиски извештај </w:t>
      </w:r>
    </w:p>
    <w:p w:rsidR="006E7857" w:rsidRPr="00B43F6B" w:rsidRDefault="00EA6E0A" w:rsidP="006E7857">
      <w:pPr>
        <w:pStyle w:val="ListParagraph"/>
        <w:numPr>
          <w:ilvl w:val="0"/>
          <w:numId w:val="8"/>
        </w:numPr>
        <w:spacing w:after="60"/>
        <w:contextualSpacing w:val="0"/>
        <w:jc w:val="both"/>
        <w:rPr>
          <w:rFonts w:ascii="Calibri" w:hAnsi="Calibri"/>
          <w:lang w:val="mk-MK"/>
        </w:rPr>
      </w:pPr>
      <w:r w:rsidRPr="00B43F6B">
        <w:rPr>
          <w:rFonts w:ascii="Calibri" w:hAnsi="Calibri"/>
          <w:lang w:val="mk-MK"/>
        </w:rPr>
        <w:t xml:space="preserve">Договор за грант </w:t>
      </w:r>
    </w:p>
    <w:sectPr w:rsidR="006E7857" w:rsidRPr="00B43F6B" w:rsidSect="00AA7217">
      <w:headerReference w:type="default" r:id="rId21"/>
      <w:footerReference w:type="default" r:id="rId2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C8" w:rsidRDefault="004B4FC8" w:rsidP="004A09C5">
      <w:r>
        <w:separator/>
      </w:r>
    </w:p>
  </w:endnote>
  <w:endnote w:type="continuationSeparator" w:id="0">
    <w:p w:rsidR="004B4FC8" w:rsidRDefault="004B4FC8" w:rsidP="004A0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433413"/>
      <w:docPartObj>
        <w:docPartGallery w:val="Page Numbers (Bottom of Page)"/>
        <w:docPartUnique/>
      </w:docPartObj>
    </w:sdtPr>
    <w:sdtEndPr/>
    <w:sdtContent>
      <w:sdt>
        <w:sdtPr>
          <w:id w:val="860082579"/>
          <w:docPartObj>
            <w:docPartGallery w:val="Page Numbers (Top of Page)"/>
            <w:docPartUnique/>
          </w:docPartObj>
        </w:sdtPr>
        <w:sdtEndPr/>
        <w:sdtContent>
          <w:p w:rsidR="004B4FC8" w:rsidRDefault="004B4FC8">
            <w:pPr>
              <w:pStyle w:val="Footer"/>
              <w:jc w:val="right"/>
            </w:pPr>
            <w:r w:rsidRPr="0005048C">
              <w:rPr>
                <w:rFonts w:asciiTheme="majorHAnsi" w:hAnsiTheme="majorHAnsi" w:cstheme="majorHAnsi"/>
                <w:sz w:val="22"/>
                <w:szCs w:val="22"/>
              </w:rPr>
              <w:t xml:space="preserve">Page </w:t>
            </w:r>
            <w:r w:rsidRPr="0005048C">
              <w:rPr>
                <w:rFonts w:asciiTheme="majorHAnsi" w:hAnsiTheme="majorHAnsi" w:cstheme="majorHAnsi"/>
                <w:bCs/>
                <w:sz w:val="22"/>
                <w:szCs w:val="22"/>
              </w:rPr>
              <w:fldChar w:fldCharType="begin"/>
            </w:r>
            <w:r w:rsidRPr="0005048C">
              <w:rPr>
                <w:rFonts w:asciiTheme="majorHAnsi" w:hAnsiTheme="majorHAnsi" w:cstheme="majorHAnsi"/>
                <w:bCs/>
                <w:sz w:val="22"/>
                <w:szCs w:val="22"/>
              </w:rPr>
              <w:instrText xml:space="preserve"> PAGE </w:instrText>
            </w:r>
            <w:r w:rsidRPr="0005048C">
              <w:rPr>
                <w:rFonts w:asciiTheme="majorHAnsi" w:hAnsiTheme="majorHAnsi" w:cstheme="majorHAnsi"/>
                <w:bCs/>
                <w:sz w:val="22"/>
                <w:szCs w:val="22"/>
              </w:rPr>
              <w:fldChar w:fldCharType="separate"/>
            </w:r>
            <w:r w:rsidR="001E69D4">
              <w:rPr>
                <w:rFonts w:asciiTheme="majorHAnsi" w:hAnsiTheme="majorHAnsi" w:cstheme="majorHAnsi"/>
                <w:bCs/>
                <w:noProof/>
                <w:sz w:val="22"/>
                <w:szCs w:val="22"/>
              </w:rPr>
              <w:t>12</w:t>
            </w:r>
            <w:r w:rsidRPr="0005048C">
              <w:rPr>
                <w:rFonts w:asciiTheme="majorHAnsi" w:hAnsiTheme="majorHAnsi" w:cstheme="majorHAnsi"/>
                <w:bCs/>
                <w:sz w:val="22"/>
                <w:szCs w:val="22"/>
              </w:rPr>
              <w:fldChar w:fldCharType="end"/>
            </w:r>
            <w:r w:rsidRPr="0005048C">
              <w:rPr>
                <w:rFonts w:asciiTheme="majorHAnsi" w:hAnsiTheme="majorHAnsi" w:cstheme="majorHAnsi"/>
                <w:sz w:val="22"/>
                <w:szCs w:val="22"/>
              </w:rPr>
              <w:t xml:space="preserve"> of </w:t>
            </w:r>
            <w:r w:rsidRPr="0005048C">
              <w:rPr>
                <w:rFonts w:asciiTheme="majorHAnsi" w:hAnsiTheme="majorHAnsi" w:cstheme="majorHAnsi"/>
                <w:bCs/>
                <w:sz w:val="22"/>
                <w:szCs w:val="22"/>
              </w:rPr>
              <w:fldChar w:fldCharType="begin"/>
            </w:r>
            <w:r w:rsidRPr="0005048C">
              <w:rPr>
                <w:rFonts w:asciiTheme="majorHAnsi" w:hAnsiTheme="majorHAnsi" w:cstheme="majorHAnsi"/>
                <w:bCs/>
                <w:sz w:val="22"/>
                <w:szCs w:val="22"/>
              </w:rPr>
              <w:instrText xml:space="preserve"> NUMPAGES  </w:instrText>
            </w:r>
            <w:r w:rsidRPr="0005048C">
              <w:rPr>
                <w:rFonts w:asciiTheme="majorHAnsi" w:hAnsiTheme="majorHAnsi" w:cstheme="majorHAnsi"/>
                <w:bCs/>
                <w:sz w:val="22"/>
                <w:szCs w:val="22"/>
              </w:rPr>
              <w:fldChar w:fldCharType="separate"/>
            </w:r>
            <w:r w:rsidR="001E69D4">
              <w:rPr>
                <w:rFonts w:asciiTheme="majorHAnsi" w:hAnsiTheme="majorHAnsi" w:cstheme="majorHAnsi"/>
                <w:bCs/>
                <w:noProof/>
                <w:sz w:val="22"/>
                <w:szCs w:val="22"/>
              </w:rPr>
              <w:t>16</w:t>
            </w:r>
            <w:r w:rsidRPr="0005048C">
              <w:rPr>
                <w:rFonts w:asciiTheme="majorHAnsi" w:hAnsiTheme="majorHAnsi" w:cstheme="majorHAnsi"/>
                <w:bCs/>
                <w:sz w:val="22"/>
                <w:szCs w:val="22"/>
              </w:rPr>
              <w:fldChar w:fldCharType="end"/>
            </w:r>
          </w:p>
        </w:sdtContent>
      </w:sdt>
    </w:sdtContent>
  </w:sdt>
  <w:p w:rsidR="004B4FC8" w:rsidRDefault="004B4F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C8" w:rsidRDefault="004B4FC8" w:rsidP="004A09C5">
      <w:r>
        <w:separator/>
      </w:r>
    </w:p>
  </w:footnote>
  <w:footnote w:type="continuationSeparator" w:id="0">
    <w:p w:rsidR="004B4FC8" w:rsidRDefault="004B4FC8" w:rsidP="004A09C5">
      <w:r>
        <w:continuationSeparator/>
      </w:r>
    </w:p>
  </w:footnote>
  <w:footnote w:id="1">
    <w:p w:rsidR="004B4FC8" w:rsidRPr="00CC0704" w:rsidRDefault="004B4FC8" w:rsidP="00CC0704">
      <w:pPr>
        <w:autoSpaceDE w:val="0"/>
        <w:autoSpaceDN w:val="0"/>
        <w:adjustRightInd w:val="0"/>
        <w:rPr>
          <w:rFonts w:asciiTheme="majorHAnsi" w:hAnsiTheme="majorHAnsi" w:cstheme="majorHAnsi"/>
          <w:sz w:val="20"/>
          <w:szCs w:val="20"/>
          <w:lang w:val="en-GB"/>
        </w:rPr>
      </w:pPr>
      <w:r w:rsidRPr="00CC0704">
        <w:rPr>
          <w:rStyle w:val="FootnoteReference"/>
          <w:rFonts w:asciiTheme="majorHAnsi" w:hAnsiTheme="majorHAnsi" w:cstheme="majorHAnsi"/>
          <w:sz w:val="20"/>
          <w:szCs w:val="20"/>
        </w:rPr>
        <w:footnoteRef/>
      </w:r>
      <w:r w:rsidRPr="00CC0704">
        <w:rPr>
          <w:rFonts w:asciiTheme="majorHAnsi" w:hAnsiTheme="majorHAnsi" w:cstheme="majorHAnsi"/>
          <w:sz w:val="20"/>
          <w:szCs w:val="20"/>
        </w:rPr>
        <w:t xml:space="preserve"> </w:t>
      </w:r>
      <w:r>
        <w:rPr>
          <w:rFonts w:asciiTheme="majorHAnsi" w:hAnsiTheme="majorHAnsi" w:cstheme="majorHAnsi"/>
          <w:sz w:val="20"/>
          <w:szCs w:val="20"/>
          <w:lang w:val="mk-MK"/>
        </w:rPr>
        <w:t xml:space="preserve">Онаму каде што се финансира грант од страна на Европскиот развоен фонд, секое споменување на финансирањето од страна на Европската унија мора да биде разбрано како референца кон финансирањето од страна на Европскиот развоен фонд. </w:t>
      </w:r>
    </w:p>
  </w:footnote>
  <w:footnote w:id="2">
    <w:p w:rsidR="004B4FC8" w:rsidRPr="00AE299D" w:rsidRDefault="004B4FC8" w:rsidP="00AE299D">
      <w:pPr>
        <w:pStyle w:val="FootnoteText"/>
      </w:pPr>
      <w:r w:rsidRPr="00AE299D">
        <w:rPr>
          <w:rStyle w:val="FootnoteReference"/>
        </w:rPr>
        <w:footnoteRef/>
      </w:r>
      <w:r w:rsidRPr="00AE299D">
        <w:t xml:space="preserve"> </w:t>
      </w:r>
      <w:r w:rsidRPr="00AE299D">
        <w:rPr>
          <w:shd w:val="clear" w:color="auto" w:fill="FFFFFF"/>
        </w:rPr>
        <w:t xml:space="preserve">Classification List of the Activities within the National Economy (CAEN) – Листа на класификација на активности во рамките на националната економија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FC8" w:rsidRDefault="004B4FC8" w:rsidP="001F7557">
    <w:pPr>
      <w:pStyle w:val="Header"/>
      <w:tabs>
        <w:tab w:val="clear" w:pos="4320"/>
        <w:tab w:val="clear" w:pos="8640"/>
        <w:tab w:val="left" w:pos="3228"/>
        <w:tab w:val="left" w:pos="3277"/>
      </w:tabs>
    </w:pPr>
    <w: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C3584"/>
    <w:multiLevelType w:val="hybridMultilevel"/>
    <w:tmpl w:val="A94083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F0140D8"/>
    <w:multiLevelType w:val="hybridMultilevel"/>
    <w:tmpl w:val="B754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20E9A"/>
    <w:multiLevelType w:val="hybridMultilevel"/>
    <w:tmpl w:val="B65451FA"/>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9A3397F"/>
    <w:multiLevelType w:val="hybridMultilevel"/>
    <w:tmpl w:val="F9920E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6749AA"/>
    <w:multiLevelType w:val="hybridMultilevel"/>
    <w:tmpl w:val="5FD0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C105E8"/>
    <w:multiLevelType w:val="hybridMultilevel"/>
    <w:tmpl w:val="6646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7D011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nsid w:val="3DA47F09"/>
    <w:multiLevelType w:val="hybridMultilevel"/>
    <w:tmpl w:val="0B3EC646"/>
    <w:lvl w:ilvl="0" w:tplc="53D6CC08">
      <w:start w:val="3"/>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2A1D1E"/>
    <w:multiLevelType w:val="hybridMultilevel"/>
    <w:tmpl w:val="909296D2"/>
    <w:lvl w:ilvl="0" w:tplc="53D6CC08">
      <w:start w:val="3"/>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0079A6"/>
    <w:multiLevelType w:val="hybridMultilevel"/>
    <w:tmpl w:val="6CA8C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DE08C2"/>
    <w:multiLevelType w:val="hybridMultilevel"/>
    <w:tmpl w:val="4758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895320"/>
    <w:multiLevelType w:val="hybridMultilevel"/>
    <w:tmpl w:val="75CEF27E"/>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9B82620"/>
    <w:multiLevelType w:val="hybridMultilevel"/>
    <w:tmpl w:val="11927D4C"/>
    <w:lvl w:ilvl="0" w:tplc="4912CF52">
      <w:start w:val="1"/>
      <w:numFmt w:val="decimal"/>
      <w:lvlText w:val="%1."/>
      <w:lvlJc w:val="left"/>
      <w:pPr>
        <w:ind w:left="720" w:hanging="360"/>
      </w:pPr>
      <w:rPr>
        <w:rFonts w:ascii="Calibri" w:eastAsiaTheme="minorEastAsia" w:hAnsi="Calibr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FF7614"/>
    <w:multiLevelType w:val="hybridMultilevel"/>
    <w:tmpl w:val="3FDC2CD0"/>
    <w:lvl w:ilvl="0" w:tplc="04090001">
      <w:start w:val="1"/>
      <w:numFmt w:val="bullet"/>
      <w:lvlText w:val=""/>
      <w:lvlJc w:val="left"/>
      <w:pPr>
        <w:ind w:left="720" w:hanging="360"/>
      </w:pPr>
      <w:rPr>
        <w:rFonts w:ascii="Symbol" w:hAnsi="Symbol" w:hint="default"/>
      </w:rPr>
    </w:lvl>
    <w:lvl w:ilvl="1" w:tplc="2D50DF0E">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DB353A9"/>
    <w:multiLevelType w:val="hybridMultilevel"/>
    <w:tmpl w:val="9086D1EC"/>
    <w:lvl w:ilvl="0" w:tplc="53D6CC08">
      <w:start w:val="3"/>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FE763D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2C323AE"/>
    <w:multiLevelType w:val="hybridMultilevel"/>
    <w:tmpl w:val="E6A60F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3E4B8F"/>
    <w:multiLevelType w:val="hybridMultilevel"/>
    <w:tmpl w:val="F7BC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962F5D"/>
    <w:multiLevelType w:val="hybridMultilevel"/>
    <w:tmpl w:val="92A0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D37BC1"/>
    <w:multiLevelType w:val="hybridMultilevel"/>
    <w:tmpl w:val="7A40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1"/>
  </w:num>
  <w:num w:numId="5">
    <w:abstractNumId w:val="2"/>
  </w:num>
  <w:num w:numId="6">
    <w:abstractNumId w:val="13"/>
  </w:num>
  <w:num w:numId="7">
    <w:abstractNumId w:val="11"/>
  </w:num>
  <w:num w:numId="8">
    <w:abstractNumId w:val="12"/>
  </w:num>
  <w:num w:numId="9">
    <w:abstractNumId w:val="19"/>
  </w:num>
  <w:num w:numId="10">
    <w:abstractNumId w:val="0"/>
  </w:num>
  <w:num w:numId="11">
    <w:abstractNumId w:val="20"/>
  </w:num>
  <w:num w:numId="12">
    <w:abstractNumId w:val="3"/>
  </w:num>
  <w:num w:numId="13">
    <w:abstractNumId w:val="6"/>
  </w:num>
  <w:num w:numId="14">
    <w:abstractNumId w:val="15"/>
  </w:num>
  <w:num w:numId="15">
    <w:abstractNumId w:val="15"/>
  </w:num>
  <w:num w:numId="16">
    <w:abstractNumId w:val="18"/>
  </w:num>
  <w:num w:numId="17">
    <w:abstractNumId w:val="16"/>
  </w:num>
  <w:num w:numId="18">
    <w:abstractNumId w:val="8"/>
  </w:num>
  <w:num w:numId="19">
    <w:abstractNumId w:val="5"/>
  </w:num>
  <w:num w:numId="20">
    <w:abstractNumId w:val="14"/>
  </w:num>
  <w:num w:numId="21">
    <w:abstractNumId w:val="17"/>
  </w:num>
  <w:num w:numId="2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NDKzMLc0MjU2MjMyNbFQ0lEKTi0uzszPAykwrgUArsNSdSwAAAA="/>
  </w:docVars>
  <w:rsids>
    <w:rsidRoot w:val="001E4936"/>
    <w:rsid w:val="000126D6"/>
    <w:rsid w:val="00034761"/>
    <w:rsid w:val="000356FB"/>
    <w:rsid w:val="00044D8A"/>
    <w:rsid w:val="0005048C"/>
    <w:rsid w:val="0007675F"/>
    <w:rsid w:val="00083FA7"/>
    <w:rsid w:val="0008690C"/>
    <w:rsid w:val="000B293E"/>
    <w:rsid w:val="000B316E"/>
    <w:rsid w:val="000B38C5"/>
    <w:rsid w:val="000B3FF5"/>
    <w:rsid w:val="000D437F"/>
    <w:rsid w:val="000D6D45"/>
    <w:rsid w:val="000E168E"/>
    <w:rsid w:val="000E6FD9"/>
    <w:rsid w:val="000F011B"/>
    <w:rsid w:val="000F123F"/>
    <w:rsid w:val="000F7808"/>
    <w:rsid w:val="000F7DB2"/>
    <w:rsid w:val="001021F4"/>
    <w:rsid w:val="00106E1C"/>
    <w:rsid w:val="001158FF"/>
    <w:rsid w:val="0011757B"/>
    <w:rsid w:val="00127B6C"/>
    <w:rsid w:val="00127BFA"/>
    <w:rsid w:val="00142C63"/>
    <w:rsid w:val="00164F65"/>
    <w:rsid w:val="0016604A"/>
    <w:rsid w:val="0017615F"/>
    <w:rsid w:val="00187A32"/>
    <w:rsid w:val="00192EB5"/>
    <w:rsid w:val="00193056"/>
    <w:rsid w:val="001B033D"/>
    <w:rsid w:val="001B11B3"/>
    <w:rsid w:val="001B5671"/>
    <w:rsid w:val="001B5948"/>
    <w:rsid w:val="001E424E"/>
    <w:rsid w:val="001E4936"/>
    <w:rsid w:val="001E54A0"/>
    <w:rsid w:val="001E69D4"/>
    <w:rsid w:val="001F7557"/>
    <w:rsid w:val="002137B4"/>
    <w:rsid w:val="002251AF"/>
    <w:rsid w:val="0023007B"/>
    <w:rsid w:val="00252B37"/>
    <w:rsid w:val="0025538E"/>
    <w:rsid w:val="00261CAE"/>
    <w:rsid w:val="002745D9"/>
    <w:rsid w:val="00282438"/>
    <w:rsid w:val="002873E9"/>
    <w:rsid w:val="002926A7"/>
    <w:rsid w:val="002A189E"/>
    <w:rsid w:val="002B47F7"/>
    <w:rsid w:val="002C200E"/>
    <w:rsid w:val="002F3B21"/>
    <w:rsid w:val="002F5FD7"/>
    <w:rsid w:val="00306049"/>
    <w:rsid w:val="0033785C"/>
    <w:rsid w:val="00340FEB"/>
    <w:rsid w:val="00363A93"/>
    <w:rsid w:val="00372AE7"/>
    <w:rsid w:val="003740B0"/>
    <w:rsid w:val="00377F06"/>
    <w:rsid w:val="003852E8"/>
    <w:rsid w:val="003B0922"/>
    <w:rsid w:val="003B408C"/>
    <w:rsid w:val="003B5216"/>
    <w:rsid w:val="003D222A"/>
    <w:rsid w:val="003D7E35"/>
    <w:rsid w:val="003E77B4"/>
    <w:rsid w:val="003F0856"/>
    <w:rsid w:val="003F6642"/>
    <w:rsid w:val="00402F26"/>
    <w:rsid w:val="00407A68"/>
    <w:rsid w:val="004124AC"/>
    <w:rsid w:val="0042072A"/>
    <w:rsid w:val="00420D88"/>
    <w:rsid w:val="00442FF4"/>
    <w:rsid w:val="00445D11"/>
    <w:rsid w:val="00452670"/>
    <w:rsid w:val="00453D44"/>
    <w:rsid w:val="004810BF"/>
    <w:rsid w:val="00483197"/>
    <w:rsid w:val="00495227"/>
    <w:rsid w:val="00496542"/>
    <w:rsid w:val="00496727"/>
    <w:rsid w:val="00496AF6"/>
    <w:rsid w:val="004A09C5"/>
    <w:rsid w:val="004A416B"/>
    <w:rsid w:val="004B30EE"/>
    <w:rsid w:val="004B41DE"/>
    <w:rsid w:val="004B4FC8"/>
    <w:rsid w:val="004C1EBE"/>
    <w:rsid w:val="004C2BF1"/>
    <w:rsid w:val="004D4830"/>
    <w:rsid w:val="004E3356"/>
    <w:rsid w:val="004E4A20"/>
    <w:rsid w:val="004E637D"/>
    <w:rsid w:val="005057D0"/>
    <w:rsid w:val="00533F14"/>
    <w:rsid w:val="00545A86"/>
    <w:rsid w:val="00554267"/>
    <w:rsid w:val="00554FC0"/>
    <w:rsid w:val="00557193"/>
    <w:rsid w:val="00586D4B"/>
    <w:rsid w:val="00590627"/>
    <w:rsid w:val="005A7C98"/>
    <w:rsid w:val="005B379F"/>
    <w:rsid w:val="005D45AF"/>
    <w:rsid w:val="005D482D"/>
    <w:rsid w:val="005E12E5"/>
    <w:rsid w:val="005E155D"/>
    <w:rsid w:val="005F3E10"/>
    <w:rsid w:val="005F732B"/>
    <w:rsid w:val="00603E79"/>
    <w:rsid w:val="00610CC3"/>
    <w:rsid w:val="006247DC"/>
    <w:rsid w:val="00643ECA"/>
    <w:rsid w:val="006448CB"/>
    <w:rsid w:val="00651FCC"/>
    <w:rsid w:val="00653DF8"/>
    <w:rsid w:val="006574A3"/>
    <w:rsid w:val="00667281"/>
    <w:rsid w:val="006672F2"/>
    <w:rsid w:val="006712FB"/>
    <w:rsid w:val="00674508"/>
    <w:rsid w:val="00674CE1"/>
    <w:rsid w:val="00685D93"/>
    <w:rsid w:val="0069008D"/>
    <w:rsid w:val="006A236A"/>
    <w:rsid w:val="006A4C96"/>
    <w:rsid w:val="006D4FA7"/>
    <w:rsid w:val="006E7857"/>
    <w:rsid w:val="0070712F"/>
    <w:rsid w:val="00721A31"/>
    <w:rsid w:val="00724C3E"/>
    <w:rsid w:val="00734A95"/>
    <w:rsid w:val="00743D77"/>
    <w:rsid w:val="00763CF0"/>
    <w:rsid w:val="00764829"/>
    <w:rsid w:val="00782747"/>
    <w:rsid w:val="00786FE3"/>
    <w:rsid w:val="00797203"/>
    <w:rsid w:val="007A0760"/>
    <w:rsid w:val="007A143F"/>
    <w:rsid w:val="007C6043"/>
    <w:rsid w:val="007E065F"/>
    <w:rsid w:val="00814DAE"/>
    <w:rsid w:val="0084636A"/>
    <w:rsid w:val="00850F0D"/>
    <w:rsid w:val="00866555"/>
    <w:rsid w:val="008724A5"/>
    <w:rsid w:val="00876041"/>
    <w:rsid w:val="008848A5"/>
    <w:rsid w:val="008906EC"/>
    <w:rsid w:val="008A60A5"/>
    <w:rsid w:val="008B553F"/>
    <w:rsid w:val="008B702A"/>
    <w:rsid w:val="008D3EDC"/>
    <w:rsid w:val="008E6BDD"/>
    <w:rsid w:val="00921CC2"/>
    <w:rsid w:val="00922051"/>
    <w:rsid w:val="00925AB7"/>
    <w:rsid w:val="009379C6"/>
    <w:rsid w:val="009558FD"/>
    <w:rsid w:val="00994DF2"/>
    <w:rsid w:val="009A19A7"/>
    <w:rsid w:val="009A4ECB"/>
    <w:rsid w:val="009B48E5"/>
    <w:rsid w:val="009B6A1A"/>
    <w:rsid w:val="009C04CF"/>
    <w:rsid w:val="009C55B7"/>
    <w:rsid w:val="009D4472"/>
    <w:rsid w:val="009D75E9"/>
    <w:rsid w:val="00A16FAB"/>
    <w:rsid w:val="00A310B5"/>
    <w:rsid w:val="00A319A8"/>
    <w:rsid w:val="00A31E84"/>
    <w:rsid w:val="00A3350F"/>
    <w:rsid w:val="00A4115E"/>
    <w:rsid w:val="00A51495"/>
    <w:rsid w:val="00A51538"/>
    <w:rsid w:val="00A73495"/>
    <w:rsid w:val="00A92A20"/>
    <w:rsid w:val="00A96DC0"/>
    <w:rsid w:val="00A976F9"/>
    <w:rsid w:val="00A97FA5"/>
    <w:rsid w:val="00AA15A2"/>
    <w:rsid w:val="00AA7217"/>
    <w:rsid w:val="00AA7FA2"/>
    <w:rsid w:val="00AC614C"/>
    <w:rsid w:val="00AD0950"/>
    <w:rsid w:val="00AD1A43"/>
    <w:rsid w:val="00AD31F7"/>
    <w:rsid w:val="00AE299D"/>
    <w:rsid w:val="00AE7C10"/>
    <w:rsid w:val="00AF4E1E"/>
    <w:rsid w:val="00AF7A58"/>
    <w:rsid w:val="00AF7B4D"/>
    <w:rsid w:val="00B11F03"/>
    <w:rsid w:val="00B15330"/>
    <w:rsid w:val="00B21412"/>
    <w:rsid w:val="00B33948"/>
    <w:rsid w:val="00B33FBD"/>
    <w:rsid w:val="00B41EDA"/>
    <w:rsid w:val="00B43F6B"/>
    <w:rsid w:val="00B515DA"/>
    <w:rsid w:val="00B601E1"/>
    <w:rsid w:val="00B710FA"/>
    <w:rsid w:val="00B71916"/>
    <w:rsid w:val="00B727CE"/>
    <w:rsid w:val="00B80BC3"/>
    <w:rsid w:val="00B82D36"/>
    <w:rsid w:val="00B837C4"/>
    <w:rsid w:val="00B91378"/>
    <w:rsid w:val="00BB59E9"/>
    <w:rsid w:val="00BE7C2A"/>
    <w:rsid w:val="00BF06F5"/>
    <w:rsid w:val="00BF4498"/>
    <w:rsid w:val="00C04AD7"/>
    <w:rsid w:val="00C30871"/>
    <w:rsid w:val="00C324A4"/>
    <w:rsid w:val="00C32770"/>
    <w:rsid w:val="00C37658"/>
    <w:rsid w:val="00C6064A"/>
    <w:rsid w:val="00C7265E"/>
    <w:rsid w:val="00C746C7"/>
    <w:rsid w:val="00C80C45"/>
    <w:rsid w:val="00C97BD2"/>
    <w:rsid w:val="00CA02FD"/>
    <w:rsid w:val="00CA6A38"/>
    <w:rsid w:val="00CA6F16"/>
    <w:rsid w:val="00CB5D5B"/>
    <w:rsid w:val="00CB6B6F"/>
    <w:rsid w:val="00CC0704"/>
    <w:rsid w:val="00CC1CAB"/>
    <w:rsid w:val="00CE043D"/>
    <w:rsid w:val="00CE1857"/>
    <w:rsid w:val="00CF64E9"/>
    <w:rsid w:val="00D25D29"/>
    <w:rsid w:val="00D30DF4"/>
    <w:rsid w:val="00D32375"/>
    <w:rsid w:val="00D350E4"/>
    <w:rsid w:val="00D366DA"/>
    <w:rsid w:val="00D41732"/>
    <w:rsid w:val="00D45722"/>
    <w:rsid w:val="00D56AF8"/>
    <w:rsid w:val="00D66B3F"/>
    <w:rsid w:val="00DB0077"/>
    <w:rsid w:val="00DB06DA"/>
    <w:rsid w:val="00DB5EFC"/>
    <w:rsid w:val="00DB6818"/>
    <w:rsid w:val="00DB6CF5"/>
    <w:rsid w:val="00DD0EAC"/>
    <w:rsid w:val="00DD498E"/>
    <w:rsid w:val="00DF0E9B"/>
    <w:rsid w:val="00E130AA"/>
    <w:rsid w:val="00E14612"/>
    <w:rsid w:val="00E15181"/>
    <w:rsid w:val="00E21C49"/>
    <w:rsid w:val="00E25113"/>
    <w:rsid w:val="00E3105D"/>
    <w:rsid w:val="00E44170"/>
    <w:rsid w:val="00E63C8F"/>
    <w:rsid w:val="00EA6657"/>
    <w:rsid w:val="00EA6E0A"/>
    <w:rsid w:val="00EC33E6"/>
    <w:rsid w:val="00EC5A88"/>
    <w:rsid w:val="00ED0ABD"/>
    <w:rsid w:val="00EE2043"/>
    <w:rsid w:val="00EE3673"/>
    <w:rsid w:val="00F15330"/>
    <w:rsid w:val="00F24D27"/>
    <w:rsid w:val="00F3564D"/>
    <w:rsid w:val="00F35BE6"/>
    <w:rsid w:val="00F43DE1"/>
    <w:rsid w:val="00F440B4"/>
    <w:rsid w:val="00F5058C"/>
    <w:rsid w:val="00F63AD3"/>
    <w:rsid w:val="00F66F55"/>
    <w:rsid w:val="00F929CB"/>
    <w:rsid w:val="00F96BCB"/>
    <w:rsid w:val="00FB00DB"/>
    <w:rsid w:val="00FB19A8"/>
    <w:rsid w:val="00FB71F8"/>
    <w:rsid w:val="00FC0131"/>
    <w:rsid w:val="00FC054F"/>
    <w:rsid w:val="00FC7A1F"/>
    <w:rsid w:val="00FD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CAB"/>
  </w:style>
  <w:style w:type="paragraph" w:styleId="Heading1">
    <w:name w:val="heading 1"/>
    <w:basedOn w:val="Normal"/>
    <w:next w:val="Normal"/>
    <w:link w:val="Heading1Char"/>
    <w:uiPriority w:val="9"/>
    <w:qFormat/>
    <w:rsid w:val="00AF7A58"/>
    <w:pPr>
      <w:keepNext/>
      <w:keepLines/>
      <w:numPr>
        <w:numId w:val="14"/>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F7DB2"/>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7217"/>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702A"/>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702A"/>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702A"/>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702A"/>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702A"/>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702A"/>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7D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7DB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F7DB2"/>
    <w:rPr>
      <w:rFonts w:asciiTheme="majorHAnsi" w:eastAsiaTheme="majorEastAsia" w:hAnsiTheme="majorHAnsi" w:cstheme="majorBidi"/>
      <w:b/>
      <w:bCs/>
      <w:color w:val="4F81BD" w:themeColor="accent1"/>
      <w:sz w:val="26"/>
      <w:szCs w:val="26"/>
    </w:rPr>
  </w:style>
  <w:style w:type="character" w:styleId="FootnoteReference">
    <w:name w:val="footnote reference"/>
    <w:aliases w:val="Char Char,BVI fnr Zchn,BVI fnr Char Zchn,BVI fnr Car Car Car Car Zchn,BVI fnr Car Car Zchn,BVI fnr Car Zchn,BVI fnr Car Car Car Car Char Zchn Zchn,Ref"/>
    <w:basedOn w:val="DefaultParagraphFont"/>
    <w:link w:val="Char2"/>
    <w:uiPriority w:val="99"/>
    <w:qFormat/>
    <w:rsid w:val="004A09C5"/>
    <w:rPr>
      <w:rFonts w:ascii="Times New Roman" w:hAnsi="Times New Roman" w:cs="Times New Roman"/>
      <w:sz w:val="16"/>
      <w:vertAlign w:val="superscript"/>
    </w:rPr>
  </w:style>
  <w:style w:type="paragraph" w:customStyle="1" w:styleId="Char2">
    <w:name w:val="Char2"/>
    <w:basedOn w:val="Normal"/>
    <w:link w:val="FootnoteReference"/>
    <w:rsid w:val="004A09C5"/>
    <w:pPr>
      <w:spacing w:after="160" w:line="240" w:lineRule="exact"/>
    </w:pPr>
    <w:rPr>
      <w:rFonts w:ascii="Times New Roman" w:hAnsi="Times New Roman" w:cs="Times New Roman"/>
      <w:sz w:val="16"/>
      <w:vertAlign w:val="superscript"/>
    </w:rPr>
  </w:style>
  <w:style w:type="paragraph" w:styleId="FootnoteText">
    <w:name w:val="footnote text"/>
    <w:basedOn w:val="Normal"/>
    <w:link w:val="FootnoteTextChar"/>
    <w:autoRedefine/>
    <w:uiPriority w:val="99"/>
    <w:qFormat/>
    <w:rsid w:val="00AE299D"/>
    <w:pPr>
      <w:widowControl w:val="0"/>
      <w:tabs>
        <w:tab w:val="left" w:pos="284"/>
      </w:tabs>
      <w:spacing w:after="80"/>
      <w:ind w:left="284" w:hanging="142"/>
    </w:pPr>
    <w:rPr>
      <w:rFonts w:asciiTheme="majorHAnsi" w:eastAsia="Times New Roman" w:hAnsiTheme="majorHAnsi" w:cstheme="majorHAnsi"/>
      <w:sz w:val="20"/>
      <w:szCs w:val="20"/>
      <w:lang w:val="en-GB"/>
    </w:rPr>
  </w:style>
  <w:style w:type="character" w:customStyle="1" w:styleId="FootnoteTextChar">
    <w:name w:val="Footnote Text Char"/>
    <w:basedOn w:val="DefaultParagraphFont"/>
    <w:link w:val="FootnoteText"/>
    <w:uiPriority w:val="99"/>
    <w:rsid w:val="00AE299D"/>
    <w:rPr>
      <w:rFonts w:asciiTheme="majorHAnsi" w:eastAsia="Times New Roman" w:hAnsiTheme="majorHAnsi" w:cstheme="majorHAnsi"/>
      <w:sz w:val="20"/>
      <w:szCs w:val="20"/>
      <w:lang w:val="en-GB"/>
    </w:rPr>
  </w:style>
  <w:style w:type="character" w:customStyle="1" w:styleId="Heading1Char">
    <w:name w:val="Heading 1 Char"/>
    <w:basedOn w:val="DefaultParagraphFont"/>
    <w:link w:val="Heading1"/>
    <w:uiPriority w:val="9"/>
    <w:rsid w:val="00AF7A58"/>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link w:val="ListParagraphChar"/>
    <w:uiPriority w:val="34"/>
    <w:qFormat/>
    <w:rsid w:val="00782747"/>
    <w:pPr>
      <w:ind w:left="720"/>
      <w:contextualSpacing/>
    </w:pPr>
  </w:style>
  <w:style w:type="character" w:customStyle="1" w:styleId="ListParagraphChar">
    <w:name w:val="List Paragraph Char"/>
    <w:link w:val="ListParagraph"/>
    <w:uiPriority w:val="34"/>
    <w:locked/>
    <w:rsid w:val="00782747"/>
  </w:style>
  <w:style w:type="table" w:styleId="TableGrid">
    <w:name w:val="Table Grid"/>
    <w:basedOn w:val="TableNormal"/>
    <w:uiPriority w:val="59"/>
    <w:rsid w:val="00922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637D"/>
    <w:pPr>
      <w:tabs>
        <w:tab w:val="center" w:pos="4320"/>
        <w:tab w:val="right" w:pos="8640"/>
      </w:tabs>
    </w:pPr>
  </w:style>
  <w:style w:type="character" w:customStyle="1" w:styleId="HeaderChar">
    <w:name w:val="Header Char"/>
    <w:basedOn w:val="DefaultParagraphFont"/>
    <w:link w:val="Header"/>
    <w:uiPriority w:val="99"/>
    <w:rsid w:val="004E637D"/>
  </w:style>
  <w:style w:type="paragraph" w:styleId="Footer">
    <w:name w:val="footer"/>
    <w:basedOn w:val="Normal"/>
    <w:link w:val="FooterChar"/>
    <w:uiPriority w:val="99"/>
    <w:unhideWhenUsed/>
    <w:rsid w:val="004E637D"/>
    <w:pPr>
      <w:tabs>
        <w:tab w:val="center" w:pos="4320"/>
        <w:tab w:val="right" w:pos="8640"/>
      </w:tabs>
    </w:pPr>
  </w:style>
  <w:style w:type="character" w:customStyle="1" w:styleId="FooterChar">
    <w:name w:val="Footer Char"/>
    <w:basedOn w:val="DefaultParagraphFont"/>
    <w:link w:val="Footer"/>
    <w:uiPriority w:val="99"/>
    <w:rsid w:val="004E637D"/>
  </w:style>
  <w:style w:type="character" w:styleId="Hyperlink">
    <w:name w:val="Hyperlink"/>
    <w:basedOn w:val="DefaultParagraphFont"/>
    <w:uiPriority w:val="99"/>
    <w:unhideWhenUsed/>
    <w:rsid w:val="00DB06DA"/>
    <w:rPr>
      <w:color w:val="0000FF" w:themeColor="hyperlink"/>
      <w:u w:val="single"/>
    </w:rPr>
  </w:style>
  <w:style w:type="character" w:styleId="CommentReference">
    <w:name w:val="annotation reference"/>
    <w:basedOn w:val="DefaultParagraphFont"/>
    <w:uiPriority w:val="99"/>
    <w:semiHidden/>
    <w:unhideWhenUsed/>
    <w:rsid w:val="008D3EDC"/>
    <w:rPr>
      <w:sz w:val="18"/>
      <w:szCs w:val="18"/>
    </w:rPr>
  </w:style>
  <w:style w:type="paragraph" w:styleId="CommentText">
    <w:name w:val="annotation text"/>
    <w:basedOn w:val="Normal"/>
    <w:link w:val="CommentTextChar"/>
    <w:uiPriority w:val="99"/>
    <w:semiHidden/>
    <w:unhideWhenUsed/>
    <w:rsid w:val="008D3EDC"/>
  </w:style>
  <w:style w:type="character" w:customStyle="1" w:styleId="CommentTextChar">
    <w:name w:val="Comment Text Char"/>
    <w:basedOn w:val="DefaultParagraphFont"/>
    <w:link w:val="CommentText"/>
    <w:uiPriority w:val="99"/>
    <w:semiHidden/>
    <w:rsid w:val="008D3EDC"/>
  </w:style>
  <w:style w:type="paragraph" w:styleId="CommentSubject">
    <w:name w:val="annotation subject"/>
    <w:basedOn w:val="CommentText"/>
    <w:next w:val="CommentText"/>
    <w:link w:val="CommentSubjectChar"/>
    <w:uiPriority w:val="99"/>
    <w:semiHidden/>
    <w:unhideWhenUsed/>
    <w:rsid w:val="008D3EDC"/>
    <w:rPr>
      <w:b/>
      <w:bCs/>
      <w:sz w:val="20"/>
      <w:szCs w:val="20"/>
    </w:rPr>
  </w:style>
  <w:style w:type="character" w:customStyle="1" w:styleId="CommentSubjectChar">
    <w:name w:val="Comment Subject Char"/>
    <w:basedOn w:val="CommentTextChar"/>
    <w:link w:val="CommentSubject"/>
    <w:uiPriority w:val="99"/>
    <w:semiHidden/>
    <w:rsid w:val="008D3EDC"/>
    <w:rPr>
      <w:b/>
      <w:bCs/>
      <w:sz w:val="20"/>
      <w:szCs w:val="20"/>
    </w:rPr>
  </w:style>
  <w:style w:type="paragraph" w:styleId="BalloonText">
    <w:name w:val="Balloon Text"/>
    <w:basedOn w:val="Normal"/>
    <w:link w:val="BalloonTextChar"/>
    <w:uiPriority w:val="99"/>
    <w:semiHidden/>
    <w:unhideWhenUsed/>
    <w:rsid w:val="008D3E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EDC"/>
    <w:rPr>
      <w:rFonts w:ascii="Lucida Grande" w:hAnsi="Lucida Grande" w:cs="Lucida Grande"/>
      <w:sz w:val="18"/>
      <w:szCs w:val="18"/>
    </w:rPr>
  </w:style>
  <w:style w:type="character" w:customStyle="1" w:styleId="Heading3Char">
    <w:name w:val="Heading 3 Char"/>
    <w:basedOn w:val="DefaultParagraphFont"/>
    <w:link w:val="Heading3"/>
    <w:uiPriority w:val="9"/>
    <w:rsid w:val="00AA7217"/>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A7217"/>
    <w:rPr>
      <w:color w:val="800080" w:themeColor="followedHyperlink"/>
      <w:u w:val="single"/>
    </w:rPr>
  </w:style>
  <w:style w:type="paragraph" w:customStyle="1" w:styleId="Default">
    <w:name w:val="Default"/>
    <w:uiPriority w:val="99"/>
    <w:rsid w:val="002B47F7"/>
    <w:pPr>
      <w:autoSpaceDE w:val="0"/>
      <w:autoSpaceDN w:val="0"/>
      <w:adjustRightInd w:val="0"/>
    </w:pPr>
    <w:rPr>
      <w:rFonts w:ascii="Times New Roman" w:eastAsia="Times New Roman" w:hAnsi="Times New Roman" w:cs="Times New Roman"/>
      <w:color w:val="000000"/>
    </w:rPr>
  </w:style>
  <w:style w:type="paragraph" w:styleId="NoSpacing">
    <w:name w:val="No Spacing"/>
    <w:link w:val="NoSpacingChar"/>
    <w:uiPriority w:val="1"/>
    <w:qFormat/>
    <w:rsid w:val="00282438"/>
    <w:rPr>
      <w:sz w:val="22"/>
      <w:szCs w:val="22"/>
      <w:lang w:val="hr-HR" w:eastAsia="hr-HR"/>
    </w:rPr>
  </w:style>
  <w:style w:type="character" w:customStyle="1" w:styleId="NoSpacingChar">
    <w:name w:val="No Spacing Char"/>
    <w:basedOn w:val="DefaultParagraphFont"/>
    <w:link w:val="NoSpacing"/>
    <w:uiPriority w:val="1"/>
    <w:rsid w:val="00282438"/>
    <w:rPr>
      <w:sz w:val="22"/>
      <w:szCs w:val="22"/>
      <w:lang w:val="hr-HR" w:eastAsia="hr-HR"/>
    </w:rPr>
  </w:style>
  <w:style w:type="character" w:customStyle="1" w:styleId="apple-converted-space">
    <w:name w:val="apple-converted-space"/>
    <w:rsid w:val="00495227"/>
    <w:rPr>
      <w:rFonts w:cs="Times New Roman"/>
    </w:rPr>
  </w:style>
  <w:style w:type="character" w:customStyle="1" w:styleId="Heading4Char">
    <w:name w:val="Heading 4 Char"/>
    <w:basedOn w:val="DefaultParagraphFont"/>
    <w:link w:val="Heading4"/>
    <w:uiPriority w:val="9"/>
    <w:semiHidden/>
    <w:rsid w:val="008B70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B70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B70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B70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70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702A"/>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AD1A43"/>
    <w:pPr>
      <w:spacing w:after="100"/>
    </w:pPr>
  </w:style>
  <w:style w:type="paragraph" w:styleId="TOC2">
    <w:name w:val="toc 2"/>
    <w:basedOn w:val="Normal"/>
    <w:next w:val="Normal"/>
    <w:autoRedefine/>
    <w:uiPriority w:val="39"/>
    <w:unhideWhenUsed/>
    <w:rsid w:val="00AD1A43"/>
    <w:pPr>
      <w:spacing w:after="100"/>
      <w:ind w:left="240"/>
    </w:pPr>
  </w:style>
  <w:style w:type="paragraph" w:styleId="TOC3">
    <w:name w:val="toc 3"/>
    <w:basedOn w:val="Normal"/>
    <w:next w:val="Normal"/>
    <w:autoRedefine/>
    <w:uiPriority w:val="39"/>
    <w:unhideWhenUsed/>
    <w:rsid w:val="00AD1A43"/>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7A58"/>
    <w:pPr>
      <w:keepNext/>
      <w:keepLines/>
      <w:numPr>
        <w:numId w:val="14"/>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F7DB2"/>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7217"/>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702A"/>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702A"/>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702A"/>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702A"/>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702A"/>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B702A"/>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7D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7DB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F7DB2"/>
    <w:rPr>
      <w:rFonts w:asciiTheme="majorHAnsi" w:eastAsiaTheme="majorEastAsia" w:hAnsiTheme="majorHAnsi" w:cstheme="majorBidi"/>
      <w:b/>
      <w:bCs/>
      <w:color w:val="4F81BD" w:themeColor="accent1"/>
      <w:sz w:val="26"/>
      <w:szCs w:val="26"/>
    </w:rPr>
  </w:style>
  <w:style w:type="character" w:styleId="FootnoteReference">
    <w:name w:val="footnote reference"/>
    <w:aliases w:val="Char Char,BVI fnr Zchn,BVI fnr Char Zchn,BVI fnr Car Car Car Car Zchn,BVI fnr Car Car Zchn,BVI fnr Car Zchn,BVI fnr Car Car Car Car Char Zchn Zchn,Ref"/>
    <w:basedOn w:val="DefaultParagraphFont"/>
    <w:link w:val="Char2"/>
    <w:uiPriority w:val="99"/>
    <w:qFormat/>
    <w:rsid w:val="004A09C5"/>
    <w:rPr>
      <w:rFonts w:ascii="Times New Roman" w:hAnsi="Times New Roman" w:cs="Times New Roman"/>
      <w:sz w:val="16"/>
      <w:vertAlign w:val="superscript"/>
    </w:rPr>
  </w:style>
  <w:style w:type="paragraph" w:customStyle="1" w:styleId="Char2">
    <w:name w:val="Char2"/>
    <w:basedOn w:val="Normal"/>
    <w:link w:val="FootnoteReference"/>
    <w:rsid w:val="004A09C5"/>
    <w:pPr>
      <w:spacing w:after="160" w:line="240" w:lineRule="exact"/>
    </w:pPr>
    <w:rPr>
      <w:rFonts w:ascii="Times New Roman" w:hAnsi="Times New Roman" w:cs="Times New Roman"/>
      <w:sz w:val="16"/>
      <w:vertAlign w:val="superscript"/>
    </w:rPr>
  </w:style>
  <w:style w:type="paragraph" w:styleId="FootnoteText">
    <w:name w:val="footnote text"/>
    <w:basedOn w:val="Normal"/>
    <w:link w:val="FootnoteTextChar"/>
    <w:autoRedefine/>
    <w:uiPriority w:val="99"/>
    <w:qFormat/>
    <w:rsid w:val="00AE299D"/>
    <w:pPr>
      <w:widowControl w:val="0"/>
      <w:tabs>
        <w:tab w:val="left" w:pos="284"/>
      </w:tabs>
      <w:spacing w:after="80"/>
      <w:ind w:left="284" w:hanging="142"/>
    </w:pPr>
    <w:rPr>
      <w:rFonts w:asciiTheme="majorHAnsi" w:eastAsia="Times New Roman" w:hAnsiTheme="majorHAnsi" w:cstheme="majorHAnsi"/>
      <w:sz w:val="20"/>
      <w:szCs w:val="20"/>
      <w:lang w:val="en-GB"/>
    </w:rPr>
  </w:style>
  <w:style w:type="character" w:customStyle="1" w:styleId="FootnoteTextChar">
    <w:name w:val="Footnote Text Char"/>
    <w:basedOn w:val="DefaultParagraphFont"/>
    <w:link w:val="FootnoteText"/>
    <w:uiPriority w:val="99"/>
    <w:rsid w:val="00AE299D"/>
    <w:rPr>
      <w:rFonts w:asciiTheme="majorHAnsi" w:eastAsia="Times New Roman" w:hAnsiTheme="majorHAnsi" w:cstheme="majorHAnsi"/>
      <w:sz w:val="20"/>
      <w:szCs w:val="20"/>
      <w:lang w:val="en-GB"/>
    </w:rPr>
  </w:style>
  <w:style w:type="character" w:customStyle="1" w:styleId="Heading1Char">
    <w:name w:val="Heading 1 Char"/>
    <w:basedOn w:val="DefaultParagraphFont"/>
    <w:link w:val="Heading1"/>
    <w:uiPriority w:val="9"/>
    <w:rsid w:val="00AF7A58"/>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link w:val="ListParagraphChar"/>
    <w:uiPriority w:val="34"/>
    <w:qFormat/>
    <w:rsid w:val="00782747"/>
    <w:pPr>
      <w:ind w:left="720"/>
      <w:contextualSpacing/>
    </w:pPr>
  </w:style>
  <w:style w:type="character" w:customStyle="1" w:styleId="ListParagraphChar">
    <w:name w:val="List Paragraph Char"/>
    <w:link w:val="ListParagraph"/>
    <w:uiPriority w:val="34"/>
    <w:locked/>
    <w:rsid w:val="00782747"/>
  </w:style>
  <w:style w:type="table" w:styleId="TableGrid">
    <w:name w:val="Table Grid"/>
    <w:basedOn w:val="TableNormal"/>
    <w:uiPriority w:val="59"/>
    <w:rsid w:val="00922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E637D"/>
    <w:pPr>
      <w:tabs>
        <w:tab w:val="center" w:pos="4320"/>
        <w:tab w:val="right" w:pos="8640"/>
      </w:tabs>
    </w:pPr>
  </w:style>
  <w:style w:type="character" w:customStyle="1" w:styleId="HeaderChar">
    <w:name w:val="Header Char"/>
    <w:basedOn w:val="DefaultParagraphFont"/>
    <w:link w:val="Header"/>
    <w:uiPriority w:val="99"/>
    <w:rsid w:val="004E637D"/>
  </w:style>
  <w:style w:type="paragraph" w:styleId="Footer">
    <w:name w:val="footer"/>
    <w:basedOn w:val="Normal"/>
    <w:link w:val="FooterChar"/>
    <w:uiPriority w:val="99"/>
    <w:unhideWhenUsed/>
    <w:rsid w:val="004E637D"/>
    <w:pPr>
      <w:tabs>
        <w:tab w:val="center" w:pos="4320"/>
        <w:tab w:val="right" w:pos="8640"/>
      </w:tabs>
    </w:pPr>
  </w:style>
  <w:style w:type="character" w:customStyle="1" w:styleId="FooterChar">
    <w:name w:val="Footer Char"/>
    <w:basedOn w:val="DefaultParagraphFont"/>
    <w:link w:val="Footer"/>
    <w:uiPriority w:val="99"/>
    <w:rsid w:val="004E637D"/>
  </w:style>
  <w:style w:type="character" w:styleId="Hyperlink">
    <w:name w:val="Hyperlink"/>
    <w:basedOn w:val="DefaultParagraphFont"/>
    <w:uiPriority w:val="99"/>
    <w:unhideWhenUsed/>
    <w:rsid w:val="00DB06DA"/>
    <w:rPr>
      <w:color w:val="0000FF" w:themeColor="hyperlink"/>
      <w:u w:val="single"/>
    </w:rPr>
  </w:style>
  <w:style w:type="character" w:styleId="CommentReference">
    <w:name w:val="annotation reference"/>
    <w:basedOn w:val="DefaultParagraphFont"/>
    <w:uiPriority w:val="99"/>
    <w:semiHidden/>
    <w:unhideWhenUsed/>
    <w:rsid w:val="008D3EDC"/>
    <w:rPr>
      <w:sz w:val="18"/>
      <w:szCs w:val="18"/>
    </w:rPr>
  </w:style>
  <w:style w:type="paragraph" w:styleId="CommentText">
    <w:name w:val="annotation text"/>
    <w:basedOn w:val="Normal"/>
    <w:link w:val="CommentTextChar"/>
    <w:uiPriority w:val="99"/>
    <w:semiHidden/>
    <w:unhideWhenUsed/>
    <w:rsid w:val="008D3EDC"/>
  </w:style>
  <w:style w:type="character" w:customStyle="1" w:styleId="CommentTextChar">
    <w:name w:val="Comment Text Char"/>
    <w:basedOn w:val="DefaultParagraphFont"/>
    <w:link w:val="CommentText"/>
    <w:uiPriority w:val="99"/>
    <w:semiHidden/>
    <w:rsid w:val="008D3EDC"/>
  </w:style>
  <w:style w:type="paragraph" w:styleId="CommentSubject">
    <w:name w:val="annotation subject"/>
    <w:basedOn w:val="CommentText"/>
    <w:next w:val="CommentText"/>
    <w:link w:val="CommentSubjectChar"/>
    <w:uiPriority w:val="99"/>
    <w:semiHidden/>
    <w:unhideWhenUsed/>
    <w:rsid w:val="008D3EDC"/>
    <w:rPr>
      <w:b/>
      <w:bCs/>
      <w:sz w:val="20"/>
      <w:szCs w:val="20"/>
    </w:rPr>
  </w:style>
  <w:style w:type="character" w:customStyle="1" w:styleId="CommentSubjectChar">
    <w:name w:val="Comment Subject Char"/>
    <w:basedOn w:val="CommentTextChar"/>
    <w:link w:val="CommentSubject"/>
    <w:uiPriority w:val="99"/>
    <w:semiHidden/>
    <w:rsid w:val="008D3EDC"/>
    <w:rPr>
      <w:b/>
      <w:bCs/>
      <w:sz w:val="20"/>
      <w:szCs w:val="20"/>
    </w:rPr>
  </w:style>
  <w:style w:type="paragraph" w:styleId="BalloonText">
    <w:name w:val="Balloon Text"/>
    <w:basedOn w:val="Normal"/>
    <w:link w:val="BalloonTextChar"/>
    <w:uiPriority w:val="99"/>
    <w:semiHidden/>
    <w:unhideWhenUsed/>
    <w:rsid w:val="008D3E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3EDC"/>
    <w:rPr>
      <w:rFonts w:ascii="Lucida Grande" w:hAnsi="Lucida Grande" w:cs="Lucida Grande"/>
      <w:sz w:val="18"/>
      <w:szCs w:val="18"/>
    </w:rPr>
  </w:style>
  <w:style w:type="character" w:customStyle="1" w:styleId="Heading3Char">
    <w:name w:val="Heading 3 Char"/>
    <w:basedOn w:val="DefaultParagraphFont"/>
    <w:link w:val="Heading3"/>
    <w:uiPriority w:val="9"/>
    <w:rsid w:val="00AA7217"/>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AA7217"/>
    <w:rPr>
      <w:color w:val="800080" w:themeColor="followedHyperlink"/>
      <w:u w:val="single"/>
    </w:rPr>
  </w:style>
  <w:style w:type="paragraph" w:customStyle="1" w:styleId="Default">
    <w:name w:val="Default"/>
    <w:uiPriority w:val="99"/>
    <w:rsid w:val="002B47F7"/>
    <w:pPr>
      <w:autoSpaceDE w:val="0"/>
      <w:autoSpaceDN w:val="0"/>
      <w:adjustRightInd w:val="0"/>
    </w:pPr>
    <w:rPr>
      <w:rFonts w:ascii="Times New Roman" w:eastAsia="Times New Roman" w:hAnsi="Times New Roman" w:cs="Times New Roman"/>
      <w:color w:val="000000"/>
    </w:rPr>
  </w:style>
  <w:style w:type="paragraph" w:styleId="NoSpacing">
    <w:name w:val="No Spacing"/>
    <w:link w:val="NoSpacingChar"/>
    <w:uiPriority w:val="1"/>
    <w:qFormat/>
    <w:rsid w:val="00282438"/>
    <w:rPr>
      <w:sz w:val="22"/>
      <w:szCs w:val="22"/>
      <w:lang w:val="hr-HR" w:eastAsia="hr-HR"/>
    </w:rPr>
  </w:style>
  <w:style w:type="character" w:customStyle="1" w:styleId="NoSpacingChar">
    <w:name w:val="No Spacing Char"/>
    <w:basedOn w:val="DefaultParagraphFont"/>
    <w:link w:val="NoSpacing"/>
    <w:uiPriority w:val="1"/>
    <w:rsid w:val="00282438"/>
    <w:rPr>
      <w:sz w:val="22"/>
      <w:szCs w:val="22"/>
      <w:lang w:val="hr-HR" w:eastAsia="hr-HR"/>
    </w:rPr>
  </w:style>
  <w:style w:type="character" w:customStyle="1" w:styleId="apple-converted-space">
    <w:name w:val="apple-converted-space"/>
    <w:rsid w:val="00495227"/>
    <w:rPr>
      <w:rFonts w:cs="Times New Roman"/>
    </w:rPr>
  </w:style>
  <w:style w:type="character" w:customStyle="1" w:styleId="Heading4Char">
    <w:name w:val="Heading 4 Char"/>
    <w:basedOn w:val="DefaultParagraphFont"/>
    <w:link w:val="Heading4"/>
    <w:uiPriority w:val="9"/>
    <w:semiHidden/>
    <w:rsid w:val="008B702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B702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B702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B70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B70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702A"/>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AD1A43"/>
    <w:pPr>
      <w:spacing w:after="100"/>
    </w:pPr>
  </w:style>
  <w:style w:type="paragraph" w:styleId="TOC2">
    <w:name w:val="toc 2"/>
    <w:basedOn w:val="Normal"/>
    <w:next w:val="Normal"/>
    <w:autoRedefine/>
    <w:uiPriority w:val="39"/>
    <w:unhideWhenUsed/>
    <w:rsid w:val="00AD1A43"/>
    <w:pPr>
      <w:spacing w:after="100"/>
      <w:ind w:left="240"/>
    </w:pPr>
  </w:style>
  <w:style w:type="paragraph" w:styleId="TOC3">
    <w:name w:val="toc 3"/>
    <w:basedOn w:val="Normal"/>
    <w:next w:val="Normal"/>
    <w:autoRedefine/>
    <w:uiPriority w:val="39"/>
    <w:unhideWhenUsed/>
    <w:rsid w:val="00AD1A4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18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altergranting@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39EC-0B4D-4C83-B48B-311EED08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16</Pages>
  <Words>4857</Words>
  <Characters>27691</Characters>
  <Application>Microsoft Office Word</Application>
  <DocSecurity>0</DocSecurity>
  <Lines>230</Lines>
  <Paragraphs>64</Paragraphs>
  <ScaleCrop>false</ScaleCrop>
  <HeadingPairs>
    <vt:vector size="6" baseType="variant">
      <vt:variant>
        <vt:lpstr>Title</vt:lpstr>
      </vt:variant>
      <vt:variant>
        <vt:i4>1</vt:i4>
      </vt:variant>
      <vt:variant>
        <vt:lpstr>Naslov</vt:lpstr>
      </vt:variant>
      <vt:variant>
        <vt:i4>1</vt:i4>
      </vt:variant>
      <vt:variant>
        <vt:lpstr>Konu Başlığı</vt:lpstr>
      </vt:variant>
      <vt:variant>
        <vt:i4>1</vt:i4>
      </vt:variant>
    </vt:vector>
  </HeadingPairs>
  <TitlesOfParts>
    <vt:vector size="3" baseType="lpstr">
      <vt:lpstr/>
      <vt:lpstr/>
      <vt:lpstr/>
    </vt:vector>
  </TitlesOfParts>
  <Company>TNS</Company>
  <LinksUpToDate>false</LinksUpToDate>
  <CharactersWithSpaces>32484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von Bush</dc:creator>
  <cp:lastModifiedBy>Aleksandra Todorovska</cp:lastModifiedBy>
  <cp:revision>58</cp:revision>
  <cp:lastPrinted>2017-11-02T12:59:00Z</cp:lastPrinted>
  <dcterms:created xsi:type="dcterms:W3CDTF">2017-11-07T12:22:00Z</dcterms:created>
  <dcterms:modified xsi:type="dcterms:W3CDTF">2017-12-19T13:31:00Z</dcterms:modified>
</cp:coreProperties>
</file>