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D7FA" w14:textId="77777777" w:rsidR="008C3F6A" w:rsidRPr="001C6E11" w:rsidRDefault="008C3F6A" w:rsidP="00AA5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4"/>
          <w:szCs w:val="24"/>
          <w:lang w:val="mk-MK"/>
        </w:rPr>
      </w:pPr>
    </w:p>
    <w:p w14:paraId="645A7240" w14:textId="7AF32A76" w:rsidR="008C3F6A" w:rsidRPr="001C6E11" w:rsidRDefault="00A91CD6" w:rsidP="00AA5ACD">
      <w:pPr>
        <w:pBdr>
          <w:top w:val="nil"/>
          <w:left w:val="nil"/>
          <w:bottom w:val="single" w:sz="4" w:space="1" w:color="05C3DE"/>
          <w:right w:val="nil"/>
          <w:between w:val="nil"/>
        </w:pBdr>
        <w:tabs>
          <w:tab w:val="left" w:pos="6396"/>
        </w:tabs>
        <w:spacing w:after="0"/>
        <w:rPr>
          <w:rFonts w:asciiTheme="majorHAnsi" w:eastAsia="Georgia" w:hAnsiTheme="majorHAnsi" w:cstheme="majorHAnsi"/>
          <w:color w:val="05C3DE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05C3DE"/>
          <w:sz w:val="24"/>
          <w:szCs w:val="24"/>
          <w:lang w:val="mk-MK"/>
        </w:rPr>
        <w:t xml:space="preserve">ЈАВЕН ПОВИК ЗА КОМЕРЦИЈАЛИЗАЦИЈА НА </w:t>
      </w:r>
      <w:r w:rsidR="00CB2E9D" w:rsidRPr="001C6E11">
        <w:rPr>
          <w:rFonts w:asciiTheme="majorHAnsi" w:eastAsia="Georgia" w:hAnsiTheme="majorHAnsi" w:cstheme="majorHAnsi"/>
          <w:color w:val="05C3DE"/>
          <w:sz w:val="24"/>
          <w:szCs w:val="24"/>
          <w:lang w:val="mk-MK"/>
        </w:rPr>
        <w:t xml:space="preserve">ЦЕНТАР ЗА ПРЕРАБОТКА НА ХРАНА </w:t>
      </w:r>
      <w:r w:rsidRPr="001C6E11">
        <w:rPr>
          <w:rFonts w:asciiTheme="majorHAnsi" w:eastAsia="Georgia" w:hAnsiTheme="majorHAnsi" w:cstheme="majorHAnsi"/>
          <w:color w:val="05C3DE"/>
          <w:sz w:val="24"/>
          <w:szCs w:val="24"/>
          <w:lang w:val="mk-MK"/>
        </w:rPr>
        <w:t xml:space="preserve"> </w:t>
      </w:r>
      <w:r w:rsidR="00AA5ACD" w:rsidRPr="001C6E11">
        <w:rPr>
          <w:rFonts w:asciiTheme="majorHAnsi" w:eastAsia="Georgia" w:hAnsiTheme="majorHAnsi" w:cstheme="majorHAnsi"/>
          <w:color w:val="05C3DE"/>
          <w:sz w:val="24"/>
          <w:szCs w:val="24"/>
          <w:lang w:val="mk-MK"/>
        </w:rPr>
        <w:t xml:space="preserve">           </w:t>
      </w:r>
      <w:r w:rsidRPr="001C6E11">
        <w:rPr>
          <w:rFonts w:asciiTheme="majorHAnsi" w:eastAsia="Georgia" w:hAnsiTheme="majorHAnsi" w:cstheme="majorHAnsi"/>
          <w:color w:val="05C3DE"/>
          <w:sz w:val="24"/>
          <w:szCs w:val="24"/>
          <w:lang w:val="mk-MK"/>
        </w:rPr>
        <w:t>(FOOD HUB) – Пехчево</w:t>
      </w:r>
    </w:p>
    <w:p w14:paraId="7CDDF8AF" w14:textId="77777777" w:rsidR="008C3F6A" w:rsidRPr="001C6E11" w:rsidRDefault="008C3F6A" w:rsidP="00AA5ACD">
      <w:pPr>
        <w:pStyle w:val="Heading1"/>
        <w:numPr>
          <w:ilvl w:val="0"/>
          <w:numId w:val="0"/>
        </w:numPr>
        <w:spacing w:before="0" w:line="276" w:lineRule="auto"/>
        <w:ind w:left="432"/>
        <w:rPr>
          <w:rFonts w:eastAsia="Georgia" w:cstheme="majorHAnsi"/>
          <w:sz w:val="24"/>
          <w:szCs w:val="24"/>
          <w:lang w:val="mk-MK"/>
        </w:rPr>
      </w:pPr>
      <w:bookmarkStart w:id="0" w:name="_heading=h.gjdgxs" w:colFirst="0" w:colLast="0"/>
      <w:bookmarkEnd w:id="0"/>
    </w:p>
    <w:p w14:paraId="6A9A3FF1" w14:textId="77777777" w:rsidR="008C3F6A" w:rsidRPr="001C6E11" w:rsidRDefault="008C3F6A" w:rsidP="00AA5ACD">
      <w:pP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58641B03" w14:textId="7FDA1C6E" w:rsidR="008C3F6A" w:rsidRPr="001C6E11" w:rsidRDefault="00AC3281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 xml:space="preserve">Вовед </w:t>
      </w:r>
    </w:p>
    <w:p w14:paraId="136D261F" w14:textId="77777777" w:rsidR="008C3F6A" w:rsidRPr="001C6E11" w:rsidRDefault="008C3F6A" w:rsidP="00AA5ACD">
      <w:pPr>
        <w:rPr>
          <w:rFonts w:asciiTheme="majorHAnsi" w:eastAsia="Arial" w:hAnsiTheme="majorHAnsi" w:cstheme="majorHAnsi"/>
          <w:sz w:val="24"/>
          <w:szCs w:val="24"/>
          <w:lang w:val="mk-MK"/>
        </w:rPr>
      </w:pPr>
    </w:p>
    <w:p w14:paraId="5D5C398B" w14:textId="7C8658CE" w:rsidR="008C3F6A" w:rsidRPr="001C6E11" w:rsidRDefault="00A91CD6" w:rsidP="00AA5ACD">
      <w:pPr>
        <w:spacing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Мрежата за рурален развој на Северна Македонија гради партнерства и остварува стратешка соработка за влијание врз политиките за рурален развој на локално и национално ниво, ја поддржува и ангажира руралната заедница</w:t>
      </w:r>
      <w:r w:rsidR="007C498F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преку активности за градење и искористување на нивните способности, вештини и знаења</w:t>
      </w:r>
      <w:r w:rsidR="007C498F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и промовира и застапува ставови кои поттикнуваат услови за еднаков развој и одржливо искористување на природните ресурси. Како организација која работи на</w:t>
      </w:r>
      <w:r w:rsidR="007C498F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континуиран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развој и инклузија на рурални средини, целта на активностите на </w:t>
      </w:r>
      <w:r w:rsidR="00083D1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Мрежата за рурален развој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С</w:t>
      </w:r>
      <w:r w:rsidR="00083D1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еверна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</w:t>
      </w:r>
      <w:r w:rsidR="00083D1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акедонија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е руралното население во Република Северна Македонија да живее и работи во инклузивна средина што поттикнува диверзификација и одржливост, овозможувајќи рамномерен развој и унапредување на социо-економските услови за живот, како и зачувување на природното богатство и културното наследство. </w:t>
      </w:r>
    </w:p>
    <w:p w14:paraId="361871DF" w14:textId="52E1224B" w:rsidR="008C3F6A" w:rsidRPr="001C6E11" w:rsidRDefault="00A91CD6" w:rsidP="00AA5ACD">
      <w:pPr>
        <w:spacing w:line="276" w:lineRule="auto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Проектот „</w:t>
      </w:r>
      <w:r w:rsidR="007C498F" w:rsidRPr="007C498F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Организациски развој на</w:t>
      </w:r>
      <w:r w:rsidR="007C498F">
        <w:rPr>
          <w:rFonts w:asciiTheme="majorHAnsi" w:eastAsia="Georgia" w:hAnsiTheme="majorHAnsi" w:cstheme="majorHAnsi"/>
          <w:color w:val="auto"/>
          <w:sz w:val="24"/>
          <w:szCs w:val="24"/>
        </w:rPr>
        <w:t xml:space="preserve"> </w:t>
      </w:r>
      <w:r w:rsidR="007C498F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Мрежата за рурален развој</w:t>
      </w:r>
      <w:r w:rsidR="007C498F" w:rsidRPr="007C498F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на С</w:t>
      </w:r>
      <w:r w:rsidR="007C498F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еверна Македонија</w:t>
      </w:r>
      <w:r w:rsidR="007C498F" w:rsidRPr="007C498F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и развој на одржливи модели за обезбеденост со храна во локалните заедници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“ беше започнат од Мрежата за рурален развој на Северна Македонија во мај 2021 година. Проектот е дел од програмата IISEE, која има за цел да придонесе кон зголемување на приходите и социо-економско зајакнување на маргинализираните луѓе во руралните и под-урбаните средини во Северна Македонија. Истата  е финансиски подржана од We Effect и SIDA.</w:t>
      </w:r>
    </w:p>
    <w:p w14:paraId="62D552D3" w14:textId="0947D13E" w:rsidR="008C3F6A" w:rsidRPr="001C6E11" w:rsidRDefault="00A91CD6" w:rsidP="00AA5ACD">
      <w:pPr>
        <w:spacing w:line="276" w:lineRule="auto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Проектните активности на Мрежата за рурален развој на Северна Македонија се фокусирани на локалните рурални заедници, нивната еластичност и </w:t>
      </w:r>
      <w:r w:rsidR="001C6E11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одржливост</w:t>
      </w:r>
      <w:r w:rsidR="007C498F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,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овозможувајќи поддршка во руралниот развој со посебен акцент на сиромашните членови на заедницата.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Еден од партнерите на Мрежат</w:t>
      </w:r>
      <w:r w:rsidR="00866C6D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а за рурален развој на Северна М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акедонија</w:t>
      </w:r>
      <w:r w:rsidR="000F7699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за реализација на оваа цел</w:t>
      </w:r>
      <w:r w:rsidR="00866C6D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,</w:t>
      </w:r>
      <w:r w:rsidR="000F7699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е</w:t>
      </w:r>
      <w:r w:rsidR="00CB2E9D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Локална Акциска Група (ЛАГ) – Малеш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-</w:t>
      </w:r>
      <w:r w:rsidR="000F7699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Пијанец, с. Негрево. </w:t>
      </w:r>
    </w:p>
    <w:p w14:paraId="2378E88B" w14:textId="04D456DD" w:rsidR="008C3F6A" w:rsidRPr="001C6E11" w:rsidRDefault="00A91CD6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auto"/>
          <w:sz w:val="24"/>
          <w:szCs w:val="24"/>
          <w:highlight w:val="white"/>
          <w:lang w:val="mk-MK"/>
        </w:rPr>
        <w:t>ЛА</w:t>
      </w:r>
      <w:r w:rsidR="001C6E11">
        <w:rPr>
          <w:rFonts w:asciiTheme="majorHAnsi" w:eastAsia="Georgia" w:hAnsiTheme="majorHAnsi" w:cstheme="majorHAnsi"/>
          <w:color w:val="auto"/>
          <w:sz w:val="24"/>
          <w:szCs w:val="24"/>
          <w:highlight w:val="white"/>
          <w:lang w:val="mk-MK"/>
        </w:rPr>
        <w:t xml:space="preserve">Г 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highlight w:val="white"/>
          <w:lang w:val="mk-MK"/>
        </w:rPr>
        <w:t>Малеш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highlight w:val="white"/>
          <w:lang w:val="mk-MK"/>
        </w:rPr>
        <w:t>-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highlight w:val="white"/>
          <w:lang w:val="mk-MK"/>
        </w:rPr>
        <w:t xml:space="preserve">Пијанец ги спроведува јавните рурални политики преку вклучување на </w:t>
      </w:r>
      <w:r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целокупната заедница и користење на принципите за одржлив развој. Како долгогодишна членка на Мрежата за рурален развој на С</w:t>
      </w:r>
      <w:r w:rsidR="00083D1F"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 xml:space="preserve">еверна </w:t>
      </w:r>
      <w:r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М</w:t>
      </w:r>
      <w:r w:rsidR="00083D1F"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акедонија,</w:t>
      </w:r>
      <w:r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 xml:space="preserve"> ЛАГ-от се стреми </w:t>
      </w:r>
      <w:r w:rsidR="007C498F"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 xml:space="preserve">да го развие </w:t>
      </w:r>
      <w:r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регион</w:t>
      </w:r>
      <w:r w:rsidR="00083D1F"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от Малеш</w:t>
      </w:r>
      <w:r w:rsidR="00427EBE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-</w:t>
      </w:r>
      <w:r w:rsidR="000F7699"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>Пијанец</w:t>
      </w:r>
      <w:r w:rsidRPr="001C6E11">
        <w:rPr>
          <w:rFonts w:asciiTheme="majorHAnsi" w:eastAsia="Georgia" w:hAnsiTheme="majorHAnsi" w:cstheme="majorHAnsi"/>
          <w:sz w:val="24"/>
          <w:szCs w:val="24"/>
          <w:highlight w:val="white"/>
          <w:lang w:val="mk-MK"/>
        </w:rPr>
        <w:t xml:space="preserve"> во е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кономски зајакната и атрактивна туристичка </w:t>
      </w:r>
      <w:r w:rsidR="007C498F">
        <w:rPr>
          <w:rFonts w:asciiTheme="majorHAnsi" w:eastAsia="Georgia" w:hAnsiTheme="majorHAnsi" w:cstheme="majorHAnsi"/>
          <w:sz w:val="24"/>
          <w:szCs w:val="24"/>
          <w:lang w:val="mk-MK"/>
        </w:rPr>
        <w:t>е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ко-дестинација, да прерасне во </w:t>
      </w:r>
      <w:r w:rsidR="007C498F">
        <w:rPr>
          <w:rFonts w:asciiTheme="majorHAnsi" w:eastAsia="Georgia" w:hAnsiTheme="majorHAnsi" w:cstheme="majorHAnsi"/>
          <w:sz w:val="24"/>
          <w:szCs w:val="24"/>
          <w:lang w:val="mk-MK"/>
        </w:rPr>
        <w:t>е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вропски конкурентен ЛАГ и значително да ја подобри инфраструктурата и животот во својот регион.</w:t>
      </w:r>
    </w:p>
    <w:p w14:paraId="01C20DAE" w14:textId="61A1F013" w:rsidR="008C3F6A" w:rsidRPr="001C6E11" w:rsidRDefault="00A91CD6" w:rsidP="00AA5ACD">
      <w:pPr>
        <w:spacing w:before="120"/>
        <w:rPr>
          <w:rFonts w:asciiTheme="majorHAnsi" w:eastAsia="Georgia" w:hAnsiTheme="majorHAnsi" w:cstheme="majorHAnsi"/>
          <w:b/>
          <w:bCs/>
          <w:color w:val="222222"/>
          <w:sz w:val="24"/>
          <w:szCs w:val="24"/>
          <w:highlight w:val="white"/>
          <w:lang w:val="mk-MK"/>
        </w:rPr>
      </w:pPr>
      <w:r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Во рамки на претходно спроведени проектни активности,</w:t>
      </w:r>
      <w:r w:rsidR="007C498F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Мрежата за рурален развој на Северна Македонија, со поддршка на We Effect и SIDA</w:t>
      </w:r>
      <w:r w:rsidR="00083D1F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го</w:t>
      </w:r>
      <w:r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разви </w:t>
      </w:r>
      <w:r w:rsidR="00866C6D" w:rsidRPr="001C6E11">
        <w:rPr>
          <w:rFonts w:asciiTheme="majorHAnsi" w:eastAsia="Georgia" w:hAnsiTheme="majorHAnsi" w:cstheme="majorHAnsi"/>
          <w:b/>
          <w:bCs/>
          <w:color w:val="222222"/>
          <w:sz w:val="24"/>
          <w:szCs w:val="24"/>
          <w:highlight w:val="white"/>
          <w:lang w:val="mk-MK"/>
        </w:rPr>
        <w:t>п</w:t>
      </w:r>
      <w:r w:rsidRPr="001C6E11">
        <w:rPr>
          <w:rFonts w:asciiTheme="majorHAnsi" w:eastAsia="Georgia" w:hAnsiTheme="majorHAnsi" w:cstheme="majorHAnsi"/>
          <w:b/>
          <w:bCs/>
          <w:color w:val="222222"/>
          <w:sz w:val="24"/>
          <w:szCs w:val="24"/>
          <w:highlight w:val="white"/>
          <w:lang w:val="mk-MK"/>
        </w:rPr>
        <w:t>рв</w:t>
      </w:r>
      <w:r w:rsidR="00866C6D" w:rsidRPr="001C6E11">
        <w:rPr>
          <w:rFonts w:asciiTheme="majorHAnsi" w:eastAsia="Georgia" w:hAnsiTheme="majorHAnsi" w:cstheme="majorHAnsi"/>
          <w:b/>
          <w:bCs/>
          <w:color w:val="222222"/>
          <w:sz w:val="24"/>
          <w:szCs w:val="24"/>
          <w:highlight w:val="white"/>
          <w:lang w:val="mk-MK"/>
        </w:rPr>
        <w:t>иот Ц</w:t>
      </w:r>
      <w:r w:rsidR="00083D1F" w:rsidRPr="001C6E11">
        <w:rPr>
          <w:rFonts w:asciiTheme="majorHAnsi" w:eastAsia="Georgia" w:hAnsiTheme="majorHAnsi" w:cstheme="majorHAnsi"/>
          <w:b/>
          <w:bCs/>
          <w:color w:val="222222"/>
          <w:sz w:val="24"/>
          <w:szCs w:val="24"/>
          <w:highlight w:val="white"/>
          <w:lang w:val="mk-MK"/>
        </w:rPr>
        <w:t xml:space="preserve">ентар за преработка на храна </w:t>
      </w:r>
      <w:r w:rsidRPr="001C6E11">
        <w:rPr>
          <w:rFonts w:asciiTheme="majorHAnsi" w:eastAsia="Georgia" w:hAnsiTheme="majorHAnsi" w:cstheme="majorHAnsi"/>
          <w:b/>
          <w:bCs/>
          <w:color w:val="222222"/>
          <w:sz w:val="24"/>
          <w:szCs w:val="24"/>
          <w:highlight w:val="white"/>
          <w:lang w:val="mk-MK"/>
        </w:rPr>
        <w:t>(Food hub) во нашата држава, која од декември 2021 и официјално започна со работа.</w:t>
      </w:r>
    </w:p>
    <w:p w14:paraId="0C936E4F" w14:textId="38AEEB9C" w:rsidR="008C3F6A" w:rsidRPr="001C6E11" w:rsidRDefault="00083D1F" w:rsidP="00AA5ACD">
      <w:pPr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</w:pPr>
      <w:r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lastRenderedPageBreak/>
        <w:t xml:space="preserve">Центарот </w:t>
      </w:r>
      <w:r w:rsidR="00A91CD6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за преработка на храна (Food hub), како концепт, претставува кујна која е соодветно опремена и</w:t>
      </w:r>
      <w:r w:rsidR="00D6073B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ги исполнува законските барања за безбедност на храна (HACCP)</w:t>
      </w:r>
      <w:r w:rsidR="0026372B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</w:t>
      </w:r>
      <w:r w:rsidR="00A91CD6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и служи како заеднички простор во кој сите </w:t>
      </w:r>
      <w:r w:rsidR="001C6E11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заинтересирани</w:t>
      </w:r>
      <w:r w:rsidR="00A91CD6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локални чинители може да закажат термин за приготвување и преработка на своите производи, притоа користејќи ја во целост опремата и просторот од </w:t>
      </w:r>
      <w:r w:rsidR="002B5411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Центарот за преработка на храна</w:t>
      </w:r>
      <w:r w:rsidR="00A91CD6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, која се наоѓа во рамки на ОСУ </w:t>
      </w:r>
      <w:r w:rsid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„</w:t>
      </w:r>
      <w:r w:rsidR="00A91CD6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>Ацо Русковски”</w:t>
      </w:r>
      <w:r w:rsidR="0026372B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</w:t>
      </w:r>
      <w:r w:rsidR="00A91CD6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- Пехчево. </w:t>
      </w:r>
    </w:p>
    <w:p w14:paraId="0EFB729E" w14:textId="153E8E6F" w:rsidR="008C3F6A" w:rsidRPr="001C6E11" w:rsidRDefault="00083D1F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Центрите за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преработка на храна </w:t>
      </w:r>
      <w:r w:rsidR="000F7699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(Food hubs) во целиот свет како успешен модел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помагаат при создавање</w:t>
      </w:r>
      <w:r w:rsidR="0026372B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еколошко и социјално одржливо земјоделство, го зголемуваат пристапот до здрава и свежа храна која поради намалување на трошоците за транспорт и логистика често е </w:t>
      </w:r>
      <w:r w:rsidR="001C6E1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поевтина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и до 20%. </w:t>
      </w:r>
      <w:r w:rsidR="00D26E5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Тие </w:t>
      </w:r>
      <w:r w:rsidR="00670545">
        <w:rPr>
          <w:rFonts w:asciiTheme="majorHAnsi" w:eastAsia="Georgia" w:hAnsiTheme="majorHAnsi" w:cstheme="majorHAnsi"/>
          <w:sz w:val="24"/>
          <w:szCs w:val="24"/>
          <w:lang w:val="mk-MK"/>
        </w:rPr>
        <w:t>ја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зголемуваат локалн</w:t>
      </w:r>
      <w:r w:rsidR="00670545">
        <w:rPr>
          <w:rFonts w:asciiTheme="majorHAnsi" w:eastAsia="Georgia" w:hAnsiTheme="majorHAnsi" w:cstheme="majorHAnsi"/>
          <w:sz w:val="24"/>
          <w:szCs w:val="24"/>
          <w:lang w:val="mk-MK"/>
        </w:rPr>
        <w:t>ата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670545">
        <w:rPr>
          <w:rFonts w:asciiTheme="majorHAnsi" w:eastAsia="Georgia" w:hAnsiTheme="majorHAnsi" w:cstheme="majorHAnsi"/>
          <w:sz w:val="24"/>
          <w:szCs w:val="24"/>
          <w:lang w:val="mk-MK"/>
        </w:rPr>
        <w:t>вработеност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и дополнително го истакнуваат значењето на руралните средини и земјоделството во целина, што несомнено води до рурален развој и бројни економски придобивки за заедницата.</w:t>
      </w:r>
    </w:p>
    <w:p w14:paraId="5F68DE6B" w14:textId="57F99C45" w:rsidR="008C3F6A" w:rsidRPr="001C6E11" w:rsidRDefault="00083D1F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може да се смета за корисен посредн</w:t>
      </w:r>
      <w:r w:rsidR="00EC294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и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к кој ги поврзува </w:t>
      </w:r>
      <w:r w:rsidR="00D6073B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земјоделските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производителите со институционалните купувачи (ресторани, болници и училишта) и крајните потрошувачи. Исто така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>,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им помага на земјоделците да добијат пристап до поголеми пазари за да можат </w:t>
      </w:r>
      <w:r w:rsidR="001C6E1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повеќе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да се фокусираат на земјоделството и производството,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 помалку на маркетингот, дистрибуцијата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>,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итн.</w:t>
      </w:r>
    </w:p>
    <w:p w14:paraId="5300C17B" w14:textId="74B66998" w:rsidR="00BA56B7" w:rsidRPr="001C6E11" w:rsidRDefault="000F7699" w:rsidP="00AA5ACD">
      <w:pPr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Со цел да </w:t>
      </w:r>
      <w:r w:rsidR="00BA56B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постави одржлив модел за функционирање на 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Центарот за преработка на храна во регионот Малеш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-</w:t>
      </w:r>
      <w:r w:rsidR="00BA56B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Пијанец,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М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режата за 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р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урален 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р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азвој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на С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еверна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М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акедонија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,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финансиски поддржана од We Effect,</w:t>
      </w:r>
      <w:r w:rsidR="00427EBE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во соработка со ИМЕ програмата, го отвора повикот </w:t>
      </w:r>
      <w:r w:rsidR="00BA56B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за комерцијализација на </w:t>
      </w:r>
      <w:r w:rsidR="00083D1F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неговото</w:t>
      </w:r>
      <w:r w:rsidR="00BA56B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работење преку партнерство со бизнис секторот, со што ќе се обезбеди интерес како на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приватниот сектор</w:t>
      </w:r>
      <w:r w:rsidR="00BA56B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, така и на локалната заедница во регионот.</w:t>
      </w:r>
    </w:p>
    <w:p w14:paraId="23876AC4" w14:textId="7FF31BAE" w:rsidR="001C6E11" w:rsidRDefault="00BA56B7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Преку вклучување на искусен партнер од бизнис секторот во мена</w:t>
      </w:r>
      <w:r w:rsidR="00426F4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џ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ирање на </w:t>
      </w:r>
      <w:r w:rsidR="00083D1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храна, покрај зголемените приходи и новите работни места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>,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ќе се обезбеди 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и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подобрена продажба и подобра застапеност на пазарот како и </w:t>
      </w:r>
      <w:r w:rsidRPr="001C6E11">
        <w:rPr>
          <w:rFonts w:asciiTheme="majorHAnsi" w:eastAsia="Georgia" w:hAnsiTheme="majorHAnsi" w:cstheme="majorHAnsi"/>
          <w:b/>
          <w:sz w:val="24"/>
          <w:szCs w:val="24"/>
          <w:lang w:val="mk-MK"/>
        </w:rPr>
        <w:t>креирање</w:t>
      </w:r>
      <w:r w:rsidR="00427EBE">
        <w:rPr>
          <w:rFonts w:asciiTheme="majorHAnsi" w:eastAsia="Georgia" w:hAnsiTheme="majorHAnsi" w:cstheme="majorHAnsi"/>
          <w:b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b/>
          <w:sz w:val="24"/>
          <w:szCs w:val="24"/>
          <w:lang w:val="mk-MK"/>
        </w:rPr>
        <w:t>подобар и поквалитетен локален производ и бренд,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кој дополнително ќе влијае врз економски</w:t>
      </w:r>
      <w:r w:rsidR="002C17E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от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развој и препозн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атливост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>а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целиот Малешевско</w:t>
      </w:r>
      <w:r w:rsidR="001C6E11">
        <w:rPr>
          <w:rFonts w:asciiTheme="majorHAnsi" w:eastAsia="Georgia" w:hAnsiTheme="majorHAnsi" w:cstheme="majorHAnsi"/>
          <w:sz w:val="24"/>
          <w:szCs w:val="24"/>
          <w:lang w:val="mk-MK"/>
        </w:rPr>
        <w:t>-п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ијанечки </w:t>
      </w:r>
      <w:r w:rsidR="0028109E">
        <w:rPr>
          <w:rFonts w:asciiTheme="majorHAnsi" w:eastAsia="Georgia" w:hAnsiTheme="majorHAnsi" w:cstheme="majorHAnsi"/>
          <w:sz w:val="24"/>
          <w:szCs w:val="24"/>
          <w:lang w:val="mk-MK"/>
        </w:rPr>
        <w:t>Р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егион.</w:t>
      </w:r>
    </w:p>
    <w:p w14:paraId="2A672360" w14:textId="2C4D10BA" w:rsidR="00BA56B7" w:rsidRPr="001C6E11" w:rsidRDefault="00BA56B7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</w:p>
    <w:p w14:paraId="7D3B538E" w14:textId="68FDB969" w:rsidR="00320A81" w:rsidRPr="001C6E11" w:rsidRDefault="00320A81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 xml:space="preserve">Капацитет на </w:t>
      </w:r>
      <w:r w:rsidR="00E00AC5" w:rsidRPr="001C6E11">
        <w:rPr>
          <w:rFonts w:eastAsia="Georgia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eastAsia="Georgia" w:cstheme="majorHAnsi"/>
          <w:sz w:val="24"/>
          <w:szCs w:val="24"/>
          <w:lang w:val="mk-MK"/>
        </w:rPr>
        <w:t xml:space="preserve"> храна кој се става во функција на приватниот сектор</w:t>
      </w:r>
    </w:p>
    <w:p w14:paraId="74D2014C" w14:textId="13332632" w:rsidR="00320A81" w:rsidRPr="001C6E11" w:rsidRDefault="00E00AC5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за преработка на храна е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лоциран</w:t>
      </w:r>
      <w:r w:rsidR="00320A8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во училиштето во Пехчево и располага со посебен влез за </w:t>
      </w:r>
      <w:r w:rsidR="00AA5AC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нормално оперирање на бизнисот.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</w:t>
      </w:r>
      <w:r w:rsidR="00320A8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ги има имплементирано сите услови за безбедно </w:t>
      </w:r>
      <w:r w:rsidR="001C6E1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производство</w:t>
      </w:r>
      <w:r w:rsidR="00320A8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храна и</w:t>
      </w:r>
      <w:r w:rsidR="00D6073B" w:rsidRPr="001C6E11">
        <w:rPr>
          <w:rFonts w:asciiTheme="majorHAnsi" w:eastAsia="Georgia" w:hAnsiTheme="majorHAnsi" w:cstheme="majorHAnsi"/>
          <w:color w:val="222222"/>
          <w:sz w:val="24"/>
          <w:szCs w:val="24"/>
          <w:highlight w:val="white"/>
          <w:lang w:val="mk-MK"/>
        </w:rPr>
        <w:t xml:space="preserve"> ги исполнува законските барања за безбедност на храна (HACCP)</w:t>
      </w:r>
      <w:r w:rsidR="00D6073B" w:rsidRPr="001C6E11">
        <w:rPr>
          <w:rFonts w:asciiTheme="majorHAnsi" w:eastAsia="Georgia" w:hAnsiTheme="majorHAnsi" w:cstheme="majorHAnsi"/>
          <w:color w:val="222222"/>
          <w:sz w:val="24"/>
          <w:szCs w:val="24"/>
          <w:lang w:val="mk-MK"/>
        </w:rPr>
        <w:t>.</w:t>
      </w:r>
      <w:r w:rsidR="00320A8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</w:p>
    <w:p w14:paraId="5529A751" w14:textId="6E377DEA" w:rsidR="008C3F6A" w:rsidRPr="001C6E11" w:rsidRDefault="00E00AC5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располага со работен простор од </w:t>
      </w:r>
      <w:r w:rsidR="00EC294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1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20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м</w:t>
      </w:r>
      <w:r w:rsidR="00A91CD6" w:rsidRPr="001C6E11">
        <w:rPr>
          <w:rFonts w:asciiTheme="majorHAnsi" w:eastAsia="Georgia" w:hAnsiTheme="majorHAnsi" w:cstheme="majorHAnsi"/>
          <w:sz w:val="24"/>
          <w:szCs w:val="24"/>
          <w:vertAlign w:val="superscript"/>
          <w:lang w:val="mk-MK"/>
        </w:rPr>
        <w:t>2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кој вклучува 3 работни простории, 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>2</w:t>
      </w:r>
      <w:r w:rsidR="003F787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м</w:t>
      </w:r>
      <w:r w:rsidR="008D1D0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одерно опремени тоалети и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вкупна инвестиција </w:t>
      </w:r>
      <w:r w:rsidR="00320A8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во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опрема</w:t>
      </w:r>
      <w:r w:rsidR="008D1D0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за преработка и пакување на храна во вредност од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50.000 евра. </w:t>
      </w:r>
    </w:p>
    <w:p w14:paraId="47FDC796" w14:textId="6549DE67" w:rsidR="00E00AC5" w:rsidRPr="001C6E11" w:rsidRDefault="00E00AC5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45AD9F21" w14:textId="6CED8222" w:rsidR="00E00AC5" w:rsidRPr="001C6E11" w:rsidRDefault="00E00AC5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3A04BAEC" w14:textId="693E1D8B" w:rsidR="008C3F6A" w:rsidRPr="001C6E11" w:rsidRDefault="00A91CD6" w:rsidP="00AA5ACD">
      <w:pPr>
        <w:spacing w:before="240" w:after="24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lastRenderedPageBreak/>
        <w:t xml:space="preserve">Опремата која </w:t>
      </w:r>
      <w:r w:rsidR="008D1D0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 на располагање во 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</w:t>
      </w:r>
      <w:r w:rsidR="008D1D0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а храна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 следната:</w:t>
      </w:r>
    </w:p>
    <w:p w14:paraId="6283CA2C" w14:textId="151B2B1B" w:rsidR="008C3F6A" w:rsidRPr="001C6E11" w:rsidRDefault="00A91CD6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Екосоларна сушара со капацитет од 100</w:t>
      </w:r>
      <w:r w:rsidR="00F03B7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к</w:t>
      </w:r>
      <w:r w:rsidR="00F03B7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илограми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;</w:t>
      </w:r>
    </w:p>
    <w:p w14:paraId="74EFDD09" w14:textId="77777777" w:rsidR="008C3F6A" w:rsidRPr="001C6E11" w:rsidRDefault="00A91CD6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Два професионални електрични шпорети;</w:t>
      </w:r>
    </w:p>
    <w:p w14:paraId="30FFA76B" w14:textId="77777777" w:rsidR="008C3F6A" w:rsidRPr="001C6E11" w:rsidRDefault="00A91CD6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Професионален плински шпорет;</w:t>
      </w:r>
    </w:p>
    <w:p w14:paraId="5AC6852B" w14:textId="77777777" w:rsidR="008C3F6A" w:rsidRPr="001C6E11" w:rsidRDefault="00A91CD6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Професионален дупликатор и електрична вага;</w:t>
      </w:r>
    </w:p>
    <w:p w14:paraId="0CEF9F89" w14:textId="362C7F83" w:rsidR="008C3F6A" w:rsidRPr="001C6E11" w:rsidRDefault="00242B82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Пакерка за амбалажи со димензии на фолија (12*17, 12*20, 25*40)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;</w:t>
      </w:r>
    </w:p>
    <w:p w14:paraId="79AE6C48" w14:textId="41A3E2D8" w:rsidR="002F45EB" w:rsidRPr="001C6E11" w:rsidRDefault="00A91CD6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Фрижидер за ладење </w:t>
      </w:r>
      <w:r w:rsidR="002F45EB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со капацитет од 368 литри</w:t>
      </w:r>
    </w:p>
    <w:p w14:paraId="5FC8073C" w14:textId="6F73197A" w:rsidR="008C3F6A" w:rsidRPr="001C6E11" w:rsidRDefault="00805880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В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ертикален замрзнувач</w:t>
      </w:r>
      <w:r w:rsidR="002F45EB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со капацитет од 243 литри</w:t>
      </w:r>
    </w:p>
    <w:p w14:paraId="7A2901D6" w14:textId="29B6D985" w:rsidR="001A046E" w:rsidRPr="001C6E11" w:rsidRDefault="00E00AC5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Три и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ноксни работни маси;</w:t>
      </w:r>
    </w:p>
    <w:p w14:paraId="5645B4BA" w14:textId="4CC41B4D" w:rsidR="001A046E" w:rsidRPr="001C6E11" w:rsidRDefault="001A046E" w:rsidP="00AA5AC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ИТ опрема составена од: </w:t>
      </w:r>
      <w:r w:rsidRPr="001C6E11">
        <w:rPr>
          <w:rFonts w:asciiTheme="majorHAnsi" w:hAnsiTheme="majorHAnsi" w:cstheme="majorHAnsi"/>
          <w:sz w:val="24"/>
          <w:szCs w:val="24"/>
          <w:lang w:val="mk-MK"/>
        </w:rPr>
        <w:t>1</w:t>
      </w:r>
      <w:r w:rsidRPr="001C6E1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 xml:space="preserve">5.6" HD LED екран - </w:t>
      </w:r>
      <w:r w:rsidR="00FD4641">
        <w:rPr>
          <w:rFonts w:asciiTheme="majorHAnsi" w:hAnsiTheme="majorHAnsi" w:cstheme="majorHAnsi"/>
          <w:sz w:val="24"/>
          <w:szCs w:val="24"/>
          <w:lang w:val="mk-MK"/>
        </w:rPr>
        <w:t>м</w:t>
      </w:r>
      <w:r w:rsidRPr="001C6E11">
        <w:rPr>
          <w:rFonts w:asciiTheme="majorHAnsi" w:hAnsiTheme="majorHAnsi" w:cstheme="majorHAnsi"/>
          <w:sz w:val="24"/>
          <w:szCs w:val="24"/>
          <w:lang w:val="mk-MK"/>
        </w:rPr>
        <w:t xml:space="preserve">инимум </w:t>
      </w:r>
      <w:r w:rsidRPr="001C6E1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>Intel Core i3 процесор</w:t>
      </w:r>
      <w:r w:rsidR="00FD464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>,</w:t>
      </w:r>
      <w:r w:rsidR="001C6E1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 xml:space="preserve"> </w:t>
      </w:r>
      <w:r w:rsidR="001C6E11">
        <w:rPr>
          <w:rFonts w:asciiTheme="majorHAnsi" w:hAnsiTheme="majorHAnsi" w:cstheme="majorHAnsi"/>
          <w:sz w:val="24"/>
          <w:szCs w:val="24"/>
          <w:shd w:val="clear" w:color="auto" w:fill="FFFFFF"/>
        </w:rPr>
        <w:t>RAM</w:t>
      </w:r>
      <w:r w:rsidRPr="001C6E1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 xml:space="preserve"> </w:t>
      </w:r>
      <w:r w:rsidR="001C6E1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>м</w:t>
      </w:r>
      <w:r w:rsidRPr="001C6E11">
        <w:rPr>
          <w:rFonts w:asciiTheme="majorHAnsi" w:hAnsiTheme="majorHAnsi" w:cstheme="majorHAnsi"/>
          <w:sz w:val="24"/>
          <w:szCs w:val="24"/>
          <w:shd w:val="clear" w:color="auto" w:fill="FFFFFF"/>
          <w:lang w:val="mk-MK"/>
        </w:rPr>
        <w:t xml:space="preserve">еморија од барем 4GB; вграден SSD Disc и </w:t>
      </w:r>
      <w:r w:rsidR="00FD464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м</w:t>
      </w:r>
      <w:r w:rsidR="001C6E11"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ултифункционален</w:t>
      </w:r>
      <w:r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 xml:space="preserve"> црно</w:t>
      </w:r>
      <w:r w:rsidR="00FD464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-</w:t>
      </w:r>
      <w:r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 xml:space="preserve">бел принтер </w:t>
      </w:r>
      <w:r w:rsidR="00FD464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со</w:t>
      </w:r>
      <w:r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 xml:space="preserve"> можност за копир</w:t>
      </w:r>
      <w:r w:rsid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ање</w:t>
      </w:r>
      <w:r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,</w:t>
      </w:r>
      <w:r w:rsid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 xml:space="preserve"> </w:t>
      </w:r>
      <w:r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скенер, принтер</w:t>
      </w:r>
      <w:r w:rsidR="00E00AC5" w:rsidRPr="001C6E11">
        <w:rPr>
          <w:rFonts w:asciiTheme="majorHAnsi" w:eastAsia="Times New Roman" w:hAnsiTheme="majorHAnsi" w:cstheme="majorHAnsi"/>
          <w:spacing w:val="1"/>
          <w:sz w:val="24"/>
          <w:szCs w:val="24"/>
          <w:shd w:val="clear" w:color="auto" w:fill="FFFFFF"/>
          <w:lang w:val="mk-MK"/>
        </w:rPr>
        <w:t>.</w:t>
      </w:r>
    </w:p>
    <w:p w14:paraId="0169032B" w14:textId="77777777" w:rsidR="008C3F6A" w:rsidRPr="001C6E11" w:rsidRDefault="008C3F6A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5DF9DD1D" w14:textId="77777777" w:rsidR="008C3F6A" w:rsidRPr="001C6E11" w:rsidRDefault="00A91CD6" w:rsidP="00AA5ACD">
      <w:pPr>
        <w:pStyle w:val="Heading1"/>
        <w:numPr>
          <w:ilvl w:val="0"/>
          <w:numId w:val="4"/>
        </w:numPr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 xml:space="preserve">Цел на повикот </w:t>
      </w:r>
    </w:p>
    <w:p w14:paraId="55A477C7" w14:textId="77777777" w:rsidR="008C3F6A" w:rsidRPr="001C6E11" w:rsidRDefault="008C3F6A" w:rsidP="00AA5ACD">
      <w:pPr>
        <w:rPr>
          <w:rFonts w:asciiTheme="majorHAnsi" w:eastAsia="Arial" w:hAnsiTheme="majorHAnsi" w:cstheme="majorHAnsi"/>
          <w:sz w:val="24"/>
          <w:szCs w:val="24"/>
          <w:lang w:val="mk-MK"/>
        </w:rPr>
      </w:pPr>
    </w:p>
    <w:p w14:paraId="2193E9C2" w14:textId="4648B439" w:rsidR="008C3F6A" w:rsidRPr="001C6E11" w:rsidRDefault="00A91CD6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Цел на повикот за 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>к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омерцијализација на </w:t>
      </w:r>
      <w:r w:rsidR="002C17E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Центарот 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е 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преку воспоставување на партнерство со искусен оператор од бизнис секторот да се започне со континуирано работење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ентарот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преку имплементација на успешен и одржлив модел на соработка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со малите производители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од регионот Малеш</w:t>
      </w:r>
      <w:r w:rsidR="00427EBE">
        <w:rPr>
          <w:rFonts w:asciiTheme="majorHAnsi" w:eastAsia="Georgia" w:hAnsiTheme="majorHAnsi" w:cstheme="majorHAnsi"/>
          <w:sz w:val="24"/>
          <w:szCs w:val="24"/>
          <w:lang w:val="mk-MK"/>
        </w:rPr>
        <w:t>-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Пијанец.</w:t>
      </w:r>
    </w:p>
    <w:p w14:paraId="20BF7CDF" w14:textId="0D725543" w:rsidR="008E6F8C" w:rsidRPr="001C6E11" w:rsidRDefault="00C44FC7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Ваквиот модел на партнерство за комерцијализација на 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ќе овозможи одлични услови за преработ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>ка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храна за избраниот оператор и за малите производители од регионот. 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Покрај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финализација и додавање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вредност на производите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,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операторот и локалните мали производители ќе имаат 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можност за во</w:t>
      </w:r>
      <w:r w:rsidR="002C17E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в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едување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8E6F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нови производи и технологии, подобрување на квалитетот, маркетингот и препознатливоста на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производите од регионот.</w:t>
      </w:r>
    </w:p>
    <w:p w14:paraId="14979ABF" w14:textId="3B2150AA" w:rsidR="008C3F6A" w:rsidRPr="001C6E11" w:rsidRDefault="00A91CD6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Преку повикот ќе се воспостави</w:t>
      </w:r>
      <w:r w:rsidR="00C43D10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долгороч</w:t>
      </w:r>
      <w:r w:rsidR="00FE338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на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соработка помеѓу М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режата за рурален развој на Северна Македонија</w:t>
      </w:r>
      <w:r w:rsidR="003F787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,</w:t>
      </w:r>
      <w:r w:rsidR="00E00AC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3F787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We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3F7875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Effect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, ИМЕ програмата и Операторот, која позитивно ќе влијае врз развојот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Центарот,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локалните чинители и цел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окупниот развој на Малешевско</w:t>
      </w:r>
      <w:r w:rsidR="001C6E11">
        <w:rPr>
          <w:rFonts w:asciiTheme="majorHAnsi" w:eastAsia="Georgia" w:hAnsiTheme="majorHAnsi" w:cstheme="majorHAnsi"/>
          <w:sz w:val="24"/>
          <w:szCs w:val="24"/>
          <w:lang w:val="mk-MK"/>
        </w:rPr>
        <w:t>-п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ијанечкиот </w:t>
      </w:r>
      <w:r w:rsidR="0028109E">
        <w:rPr>
          <w:rFonts w:asciiTheme="majorHAnsi" w:eastAsia="Georgia" w:hAnsiTheme="majorHAnsi" w:cstheme="majorHAnsi"/>
          <w:sz w:val="24"/>
          <w:szCs w:val="24"/>
          <w:lang w:val="mk-MK"/>
        </w:rPr>
        <w:t>Р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егион.</w:t>
      </w:r>
    </w:p>
    <w:p w14:paraId="19502160" w14:textId="7CB0D12D" w:rsidR="008C3F6A" w:rsidRPr="001C6E11" w:rsidRDefault="00A91CD6" w:rsidP="00AA5ACD">
      <w:pPr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Со реализација на активноста се очекува да се зајакнат организациски капацитети и финансиска одржливост на ЛАГ-от </w:t>
      </w:r>
      <w:r w:rsidR="003A5D8C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и Мрежата за рурален развој на Северна Македонија.</w:t>
      </w:r>
    </w:p>
    <w:p w14:paraId="1F907FF9" w14:textId="77777777" w:rsidR="008C3F6A" w:rsidRPr="001C6E11" w:rsidRDefault="00A91CD6" w:rsidP="00AA5ACD">
      <w:pPr>
        <w:pStyle w:val="Heading1"/>
        <w:numPr>
          <w:ilvl w:val="0"/>
          <w:numId w:val="4"/>
        </w:numPr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>Можности за дополнителна поддршка</w:t>
      </w:r>
    </w:p>
    <w:p w14:paraId="259554EB" w14:textId="4FFA8A95" w:rsidR="008C3F6A" w:rsidRPr="001C6E11" w:rsidRDefault="00A91CD6" w:rsidP="00AA5ACD">
      <w:pPr>
        <w:spacing w:before="120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Операторот кој ќе ги воспостави и менаџира операциите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во Центарот за преработка на храна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, согласно поднесените предлог</w:t>
      </w:r>
      <w:r w:rsidR="00FD4641">
        <w:rPr>
          <w:rFonts w:asciiTheme="majorHAnsi" w:eastAsia="Georgia" w:hAnsiTheme="majorHAnsi" w:cstheme="majorHAnsi"/>
          <w:sz w:val="24"/>
          <w:szCs w:val="24"/>
          <w:lang w:val="mk-MK"/>
        </w:rPr>
        <w:t>-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решенија може да до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бие дополнителна поддршка од Мрежата за рурален разво</w:t>
      </w:r>
      <w:r w:rsidR="001C6E11">
        <w:rPr>
          <w:rFonts w:asciiTheme="majorHAnsi" w:eastAsia="Georgia" w:hAnsiTheme="majorHAnsi" w:cstheme="majorHAnsi"/>
          <w:sz w:val="24"/>
          <w:szCs w:val="24"/>
          <w:lang w:val="mk-MK"/>
        </w:rPr>
        <w:t>ј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Северна Македонија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и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ИМЕ програмата  во делот на 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финализација и додавање вредност на производите, поддршка во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маркетинг и промоција</w:t>
      </w:r>
      <w:r w:rsidR="003A5D8C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и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помош при воспоставување на продажни канали 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за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директен пласман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.</w:t>
      </w:r>
      <w:r w:rsidR="00FD464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Поддршката може да биде и во насока на поголемо в</w:t>
      </w:r>
      <w:r w:rsidR="002C17ED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мре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жување </w:t>
      </w:r>
      <w:r w:rsidR="002C17ED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и 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вклучување на локални производители к</w:t>
      </w:r>
      <w:r w:rsidR="003A5D8C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ои комерцијално ќе го користат Ц</w:t>
      </w:r>
      <w:r w:rsidR="00BD630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ентарот за преработка на храна и нивно приклучување кон концептот за заедничко брендирање на финалните производи.</w:t>
      </w:r>
    </w:p>
    <w:p w14:paraId="097F7F5F" w14:textId="2E37E6A1" w:rsidR="008C3F6A" w:rsidRPr="001C6E11" w:rsidRDefault="00A91CD6" w:rsidP="00AA5ACD">
      <w:pPr>
        <w:pStyle w:val="Heading1"/>
        <w:numPr>
          <w:ilvl w:val="0"/>
          <w:numId w:val="4"/>
        </w:numPr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lastRenderedPageBreak/>
        <w:t xml:space="preserve">Права и обврски на операторот со </w:t>
      </w:r>
      <w:r w:rsidR="002C17ED" w:rsidRPr="001C6E11">
        <w:rPr>
          <w:rFonts w:eastAsia="Georgia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eastAsia="Georgia" w:cstheme="majorHAnsi"/>
          <w:sz w:val="24"/>
          <w:szCs w:val="24"/>
          <w:lang w:val="mk-MK"/>
        </w:rPr>
        <w:t xml:space="preserve"> храна</w:t>
      </w:r>
    </w:p>
    <w:p w14:paraId="4D332479" w14:textId="7A8A80C5" w:rsidR="008C3F6A" w:rsidRPr="001C6E11" w:rsidRDefault="00A91CD6" w:rsidP="00AA5ACD">
      <w:pPr>
        <w:pStyle w:val="Heading1"/>
        <w:numPr>
          <w:ilvl w:val="1"/>
          <w:numId w:val="4"/>
        </w:numPr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>Права на операторот</w:t>
      </w:r>
    </w:p>
    <w:p w14:paraId="61018D10" w14:textId="32CE5427" w:rsidR="00FE3382" w:rsidRPr="001C6E11" w:rsidRDefault="000E44AB" w:rsidP="00AA5ACD">
      <w:pPr>
        <w:spacing w:before="120"/>
        <w:rPr>
          <w:rFonts w:asciiTheme="majorHAnsi" w:eastAsia="Georgia" w:hAnsiTheme="majorHAnsi" w:cstheme="majorHAnsi"/>
          <w:sz w:val="24"/>
          <w:szCs w:val="24"/>
          <w:lang w:val="mk-MK"/>
        </w:rPr>
      </w:pPr>
      <w:bookmarkStart w:id="1" w:name="_Hlk105135519"/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Со потпишување на Договорот за соработка, операторот се стекнува со следните права за користење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храна:</w:t>
      </w:r>
    </w:p>
    <w:bookmarkEnd w:id="1"/>
    <w:p w14:paraId="3E0B22AE" w14:textId="0E624CCC" w:rsidR="008C3F6A" w:rsidRPr="001C6E11" w:rsidRDefault="00A91CD6" w:rsidP="00AA5ACD">
      <w:pPr>
        <w:numPr>
          <w:ilvl w:val="0"/>
          <w:numId w:val="11"/>
        </w:numPr>
        <w:spacing w:after="0"/>
        <w:rPr>
          <w:rFonts w:asciiTheme="majorHAnsi" w:eastAsia="Arial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Целосно користење на објектите и опремата во </w:t>
      </w:r>
      <w:r w:rsidR="003A5D8C" w:rsidRPr="001C6E11">
        <w:rPr>
          <w:rFonts w:asciiTheme="majorHAnsi" w:eastAsia="Arial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 храна, согласно предлогот на самиот оператор, наведен во аплика</w:t>
      </w:r>
      <w:r w:rsidR="00F21ACB" w:rsidRPr="001C6E11">
        <w:rPr>
          <w:rFonts w:asciiTheme="majorHAnsi" w:eastAsia="Arial" w:hAnsiTheme="majorHAnsi" w:cstheme="majorHAnsi"/>
          <w:sz w:val="24"/>
          <w:szCs w:val="24"/>
          <w:lang w:val="mk-MK"/>
        </w:rPr>
        <w:t>цијата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>;</w:t>
      </w:r>
    </w:p>
    <w:p w14:paraId="6A47A3FE" w14:textId="133477B0" w:rsidR="003A68B5" w:rsidRPr="001C6E11" w:rsidRDefault="003A68B5" w:rsidP="00AA5ACD">
      <w:pPr>
        <w:numPr>
          <w:ilvl w:val="0"/>
          <w:numId w:val="11"/>
        </w:numPr>
        <w:spacing w:after="0"/>
        <w:rPr>
          <w:rFonts w:asciiTheme="majorHAnsi" w:eastAsia="Arial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Вклучување на производители од регионот и овозможување комерцијално да ги користат објектите и опремата на </w:t>
      </w:r>
      <w:r w:rsidR="003A5D8C" w:rsidRPr="001C6E11">
        <w:rPr>
          <w:rFonts w:asciiTheme="majorHAnsi" w:eastAsia="Arial" w:hAnsiTheme="majorHAnsi" w:cstheme="majorHAnsi"/>
          <w:sz w:val="24"/>
          <w:szCs w:val="24"/>
          <w:lang w:val="mk-MK"/>
        </w:rPr>
        <w:t>Центарот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>;</w:t>
      </w:r>
    </w:p>
    <w:p w14:paraId="4C3E3631" w14:textId="5ECE02F0" w:rsidR="008C3F6A" w:rsidRPr="001C6E11" w:rsidRDefault="003A5D8C" w:rsidP="00AA5ACD">
      <w:pPr>
        <w:numPr>
          <w:ilvl w:val="0"/>
          <w:numId w:val="11"/>
        </w:numPr>
        <w:spacing w:after="0"/>
        <w:rPr>
          <w:rFonts w:asciiTheme="majorHAnsi" w:eastAsia="Arial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>Операторот ќе може да го</w:t>
      </w:r>
      <w:r w:rsidR="00A91CD6"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 користи </w:t>
      </w: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>Центарот за преработка на</w:t>
      </w:r>
      <w:r w:rsidR="00A91CD6"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 храна во период од 5 години со можност за продолжување на договорот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>;</w:t>
      </w:r>
    </w:p>
    <w:p w14:paraId="09B1CC7F" w14:textId="3E9CB2F3" w:rsidR="008C3F6A" w:rsidRPr="001C6E11" w:rsidRDefault="00A91CD6" w:rsidP="00AA5ACD">
      <w:pPr>
        <w:numPr>
          <w:ilvl w:val="0"/>
          <w:numId w:val="11"/>
        </w:numPr>
        <w:spacing w:after="0"/>
        <w:rPr>
          <w:rFonts w:asciiTheme="majorHAnsi" w:eastAsia="Arial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Можност за презентација на производите и активностите за време на различни активности на ЛАГ-от и 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>о</w:t>
      </w: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>пштината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>;</w:t>
      </w:r>
    </w:p>
    <w:p w14:paraId="04FEDDB0" w14:textId="5BA643D3" w:rsidR="008C3F6A" w:rsidRPr="001C6E11" w:rsidRDefault="00A91CD6" w:rsidP="00AA5ACD">
      <w:pPr>
        <w:numPr>
          <w:ilvl w:val="0"/>
          <w:numId w:val="11"/>
        </w:numPr>
        <w:spacing w:after="0"/>
        <w:rPr>
          <w:rFonts w:asciiTheme="majorHAnsi" w:eastAsia="Arial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>Можност за користење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>дополнителна поддршка од донатори (We Effect, IME програма и други, за модернизација на производството, маркетинг</w:t>
      </w:r>
      <w:r w:rsidR="002C17ED" w:rsidRPr="001C6E11">
        <w:rPr>
          <w:rFonts w:asciiTheme="majorHAnsi" w:eastAsia="Arial" w:hAnsiTheme="majorHAnsi" w:cstheme="majorHAnsi"/>
          <w:sz w:val="24"/>
          <w:szCs w:val="24"/>
          <w:lang w:val="mk-MK"/>
        </w:rPr>
        <w:t>,</w:t>
      </w:r>
      <w:r w:rsidRPr="001C6E11">
        <w:rPr>
          <w:rFonts w:asciiTheme="majorHAnsi" w:eastAsia="Arial" w:hAnsiTheme="majorHAnsi" w:cstheme="majorHAnsi"/>
          <w:sz w:val="24"/>
          <w:szCs w:val="24"/>
          <w:lang w:val="mk-MK"/>
        </w:rPr>
        <w:t xml:space="preserve"> брендирање и вмрежување на локално и национално ниво)</w:t>
      </w:r>
      <w:r w:rsidR="00147A48">
        <w:rPr>
          <w:rFonts w:asciiTheme="majorHAnsi" w:eastAsia="Arial" w:hAnsiTheme="majorHAnsi" w:cstheme="majorHAnsi"/>
          <w:sz w:val="24"/>
          <w:szCs w:val="24"/>
          <w:lang w:val="mk-MK"/>
        </w:rPr>
        <w:t>.</w:t>
      </w:r>
    </w:p>
    <w:p w14:paraId="1D5D7D7B" w14:textId="672FC489" w:rsidR="008C3F6A" w:rsidRPr="001C6E11" w:rsidRDefault="00A91CD6" w:rsidP="00AA5ACD">
      <w:pPr>
        <w:pStyle w:val="Heading1"/>
        <w:numPr>
          <w:ilvl w:val="1"/>
          <w:numId w:val="4"/>
        </w:numPr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>Обврски на операторот:</w:t>
      </w:r>
    </w:p>
    <w:p w14:paraId="26A3A157" w14:textId="0E49DD5F" w:rsidR="008C3F6A" w:rsidRPr="001C6E11" w:rsidRDefault="000E44AB" w:rsidP="002C17ED">
      <w:pPr>
        <w:spacing w:before="12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Со потпишување на Договорот за соработка, операторот се стекнува со следните обврски од користење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 храна:</w:t>
      </w:r>
    </w:p>
    <w:p w14:paraId="567B09FA" w14:textId="777F5164" w:rsidR="003138A7" w:rsidRPr="001C6E11" w:rsidRDefault="00A91CD6" w:rsidP="00AA5ACD">
      <w:pPr>
        <w:numPr>
          <w:ilvl w:val="0"/>
          <w:numId w:val="9"/>
        </w:num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Операторот е должен да плаќа закупнина за користењето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 х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рана (часови/денови/месеци) во зависност од бизнис моделот кој ќе го предложи во формулар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от за апликација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>;</w:t>
      </w:r>
    </w:p>
    <w:p w14:paraId="6E714F49" w14:textId="7B949DF4" w:rsidR="008C3F6A" w:rsidRPr="001C6E11" w:rsidRDefault="003138A7" w:rsidP="00AA5ACD">
      <w:pPr>
        <w:numPr>
          <w:ilvl w:val="0"/>
          <w:numId w:val="9"/>
        </w:num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Операторот е должен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редовно да ги плаќа режиските трошоци кои ќе произлезат од користењето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>;</w:t>
      </w:r>
    </w:p>
    <w:p w14:paraId="0BFB84B4" w14:textId="38499AAF" w:rsidR="008C3F6A" w:rsidRPr="001C6E11" w:rsidRDefault="00A91CD6" w:rsidP="00AA5ACD">
      <w:pPr>
        <w:numPr>
          <w:ilvl w:val="0"/>
          <w:numId w:val="9"/>
        </w:num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Операторот е должен да отстапи одреден број на денови/часови на други корисници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 х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рана согласно претходно утврден договор за соработка и временски распоред</w:t>
      </w:r>
      <w:r w:rsidR="003138A7" w:rsidRPr="001C6E11">
        <w:rPr>
          <w:rStyle w:val="FootnoteReference"/>
          <w:rFonts w:asciiTheme="majorHAnsi" w:eastAsia="Georgia" w:hAnsiTheme="majorHAnsi" w:cstheme="majorHAnsi"/>
          <w:sz w:val="24"/>
          <w:szCs w:val="24"/>
          <w:lang w:val="mk-MK"/>
        </w:rPr>
        <w:footnoteReference w:id="1"/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>;</w:t>
      </w:r>
    </w:p>
    <w:p w14:paraId="4B1EB77F" w14:textId="04F47912" w:rsidR="008C3F6A" w:rsidRPr="001C6E11" w:rsidRDefault="00A91CD6" w:rsidP="00AA5ACD">
      <w:pPr>
        <w:numPr>
          <w:ilvl w:val="0"/>
          <w:numId w:val="8"/>
        </w:num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Секоја дополнителна инвестиција за доопремување на кујната, или трошок кој ќе се појави како резултат на работењето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3138A7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во периодот на траење на договорот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го сноси операторот. </w:t>
      </w:r>
      <w:r w:rsidR="003138A7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Доколку некоја од предложените идеи за модернизација е интересна и води кон зголемени приходи и работни места, постои можност за дополнителна поддршка од ИМЕ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програмата </w:t>
      </w:r>
      <w:r w:rsidR="003138A7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и М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режата за рурален развој на Северна Македонија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>;</w:t>
      </w:r>
    </w:p>
    <w:p w14:paraId="74724F43" w14:textId="31D556BF" w:rsidR="008C3F6A" w:rsidRPr="001C6E11" w:rsidRDefault="00A91CD6" w:rsidP="00AA5ACD">
      <w:pPr>
        <w:numPr>
          <w:ilvl w:val="0"/>
          <w:numId w:val="8"/>
        </w:num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Сите трошоци кои ќе ги </w:t>
      </w:r>
      <w:r w:rsidR="001C6E11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преземе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операторот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>,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кои се во функција на модернизација и подобрување на работата на 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храна, согласно со предложениот модел се сметаат за подобни, доколку се во согласност со правилниците за работа и позитивните правни норми во Р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епублика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С</w:t>
      </w:r>
      <w:r w:rsidR="003A5D8C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еверна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Македонија.</w:t>
      </w:r>
    </w:p>
    <w:p w14:paraId="1FCD5127" w14:textId="20AC5253" w:rsidR="00303D0D" w:rsidRPr="001C6E11" w:rsidRDefault="00A91CD6" w:rsidP="00AA5ACD">
      <w:pPr>
        <w:numPr>
          <w:ilvl w:val="0"/>
          <w:numId w:val="10"/>
        </w:num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lastRenderedPageBreak/>
        <w:t xml:space="preserve">Секоја промена или дополнување на бизнис моделот на </w:t>
      </w:r>
      <w:r w:rsidR="002C17E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во друга дејност е предмет на претходно одобрување од ЛАГ-от и М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режата за рурален развој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С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еверна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акедонија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. </w:t>
      </w:r>
    </w:p>
    <w:p w14:paraId="72A74229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15A21CDA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073997B6" w14:textId="77777777" w:rsidR="008C3F6A" w:rsidRPr="001C6E11" w:rsidRDefault="00A91CD6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>Подобност на апликанти</w:t>
      </w:r>
    </w:p>
    <w:p w14:paraId="477DE3A7" w14:textId="77777777" w:rsidR="008C3F6A" w:rsidRPr="001C6E11" w:rsidRDefault="008C3F6A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439362E5" w14:textId="20ACE5FE" w:rsidR="008C3F6A" w:rsidRPr="001C6E11" w:rsidRDefault="00A91CD6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Како апликант на јавниот повик за комерцијализација на 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храна може да се јави:</w:t>
      </w:r>
    </w:p>
    <w:p w14:paraId="0845D43F" w14:textId="6FD244EE" w:rsidR="008C3F6A" w:rsidRPr="001C6E11" w:rsidRDefault="00147A48" w:rsidP="00AA5AC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>
        <w:rPr>
          <w:rFonts w:asciiTheme="majorHAnsi" w:eastAsia="Georgia" w:hAnsiTheme="majorHAnsi" w:cstheme="majorHAnsi"/>
          <w:sz w:val="24"/>
          <w:szCs w:val="24"/>
          <w:lang w:val="mk-MK"/>
        </w:rPr>
        <w:t>С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екое правно лице кое е законски регистрирано во Централниот регистар на Р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епублика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С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еверна 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акедонија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и ги исполнува критериумите за трговска дејност, а има најмалку една година искуство во прехранбената индустрија;  </w:t>
      </w:r>
    </w:p>
    <w:p w14:paraId="71E11FF5" w14:textId="139913D9" w:rsidR="008C3F6A" w:rsidRPr="001C6E11" w:rsidRDefault="00A91CD6" w:rsidP="00AA5AC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Група на компании кои се организирани во </w:t>
      </w:r>
      <w:r w:rsidR="00EC294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конзорциум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и се согласни една од компаниите да аплицира во име на целиот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D6073B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конзорциум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.</w:t>
      </w:r>
    </w:p>
    <w:p w14:paraId="6493EDEB" w14:textId="77777777" w:rsidR="008C3F6A" w:rsidRPr="001C6E11" w:rsidRDefault="008C3F6A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1A1B2A36" w14:textId="2F575660" w:rsidR="008C3F6A" w:rsidRPr="001C6E11" w:rsidRDefault="00A91CD6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Индивидуалци,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непрофитни</w:t>
      </w:r>
      <w:r w:rsidR="00147A48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организации, јавни или владини институции кои се контролирани од владини тела или политички партии не се подобни за аплицирање на јавниот повик.</w:t>
      </w:r>
    </w:p>
    <w:p w14:paraId="1F2F2B4B" w14:textId="77777777" w:rsidR="008C3F6A" w:rsidRPr="001C6E11" w:rsidRDefault="008C3F6A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6F9C8F45" w14:textId="77777777" w:rsidR="008C3F6A" w:rsidRPr="001C6E11" w:rsidRDefault="00A91CD6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Дополнителни критериуми за квалификација на апликантите се следниве:</w:t>
      </w:r>
    </w:p>
    <w:p w14:paraId="503D7EC8" w14:textId="77777777" w:rsidR="008C3F6A" w:rsidRPr="001C6E11" w:rsidRDefault="008C3F6A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tbl>
      <w:tblPr>
        <w:tblStyle w:val="a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C3F6A" w:rsidRPr="001C6E11" w14:paraId="40D40785" w14:textId="77777777">
        <w:trPr>
          <w:cantSplit/>
          <w:tblHeader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B0FF" w14:textId="77777777" w:rsidR="008C3F6A" w:rsidRPr="001C6E11" w:rsidRDefault="00A91CD6" w:rsidP="00AA5ACD">
            <w:pPr>
              <w:spacing w:after="0"/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>Критериуми за учество во повикот</w:t>
            </w:r>
          </w:p>
        </w:tc>
      </w:tr>
      <w:tr w:rsidR="008C3F6A" w:rsidRPr="001C6E11" w14:paraId="0D44010C" w14:textId="77777777" w:rsidTr="00147A48">
        <w:trPr>
          <w:cantSplit/>
        </w:trPr>
        <w:tc>
          <w:tcPr>
            <w:tcW w:w="935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1314DD6" w14:textId="77777777" w:rsidR="008C3F6A" w:rsidRPr="001C6E11" w:rsidRDefault="00A91CD6" w:rsidP="00AA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lang w:val="mk-MK"/>
              </w:rPr>
              <w:t>1.Субјект кој е активен во вредносниот синџир за производство, доработка, преработка, трговија на храна и/или врши угостителска дејност.</w:t>
            </w:r>
          </w:p>
          <w:p w14:paraId="7B83E062" w14:textId="77777777" w:rsidR="008C3F6A" w:rsidRPr="001C6E11" w:rsidRDefault="008C3F6A" w:rsidP="00147A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lang w:val="mk-MK"/>
              </w:rPr>
            </w:pPr>
          </w:p>
        </w:tc>
      </w:tr>
      <w:tr w:rsidR="008C3F6A" w:rsidRPr="001C6E11" w14:paraId="46779676" w14:textId="77777777" w:rsidTr="00147A48">
        <w:trPr>
          <w:cantSplit/>
        </w:trPr>
        <w:tc>
          <w:tcPr>
            <w:tcW w:w="9355" w:type="dxa"/>
            <w:shd w:val="clear" w:color="auto" w:fill="auto"/>
            <w:vAlign w:val="bottom"/>
          </w:tcPr>
          <w:p w14:paraId="04E8DD24" w14:textId="77777777" w:rsidR="008C3F6A" w:rsidRPr="001C6E11" w:rsidRDefault="00A91CD6" w:rsidP="00AA5AC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lang w:val="mk-MK"/>
              </w:rPr>
              <w:t>2. Апликантот се обврзува да достави основни податоци за бизнисот и целосно да ги презентира очекуваните финансиски и нефинансиски резултати добиени од предложениот проект.</w:t>
            </w:r>
          </w:p>
          <w:p w14:paraId="74784EE5" w14:textId="77777777" w:rsidR="008C3F6A" w:rsidRPr="001C6E11" w:rsidRDefault="008C3F6A" w:rsidP="00AA5ACD">
            <w:pPr>
              <w:spacing w:after="0"/>
              <w:ind w:left="36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</w:p>
        </w:tc>
      </w:tr>
      <w:tr w:rsidR="008C3F6A" w:rsidRPr="001C6E11" w14:paraId="6A7104A3" w14:textId="77777777" w:rsidTr="00147A48">
        <w:trPr>
          <w:cantSplit/>
        </w:trPr>
        <w:tc>
          <w:tcPr>
            <w:tcW w:w="9355" w:type="dxa"/>
            <w:shd w:val="clear" w:color="auto" w:fill="auto"/>
            <w:vAlign w:val="bottom"/>
          </w:tcPr>
          <w:p w14:paraId="74D3FCAA" w14:textId="77777777" w:rsidR="008C3F6A" w:rsidRPr="001C6E11" w:rsidRDefault="00A91CD6" w:rsidP="00AA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shd w:val="clear" w:color="auto" w:fill="F8F9FA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color w:val="202124"/>
                <w:sz w:val="24"/>
                <w:szCs w:val="24"/>
                <w:shd w:val="clear" w:color="auto" w:fill="F8F9FA"/>
                <w:lang w:val="mk-MK"/>
              </w:rPr>
              <w:t>3. За време на фазата на аплицирање, апликантот да прикаже искрен одговор на сите прашања наведени во повикот.</w:t>
            </w:r>
          </w:p>
          <w:p w14:paraId="0390F0C2" w14:textId="77777777" w:rsidR="008C3F6A" w:rsidRPr="001C6E11" w:rsidRDefault="008C3F6A" w:rsidP="00AA5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</w:p>
        </w:tc>
      </w:tr>
    </w:tbl>
    <w:p w14:paraId="0CCBC9F8" w14:textId="77777777" w:rsidR="008C3F6A" w:rsidRPr="001C6E11" w:rsidRDefault="008C3F6A" w:rsidP="00AA5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2378D05B" w14:textId="77777777" w:rsidR="00FE3382" w:rsidRPr="001C6E11" w:rsidRDefault="00FE3382" w:rsidP="00AA5ACD">
      <w:pPr>
        <w:spacing w:after="0" w:line="276" w:lineRule="auto"/>
        <w:rPr>
          <w:rFonts w:asciiTheme="majorHAnsi" w:eastAsia="Georgia" w:hAnsiTheme="majorHAnsi" w:cstheme="majorHAnsi"/>
          <w:color w:val="64A70B"/>
          <w:sz w:val="24"/>
          <w:szCs w:val="24"/>
          <w:lang w:val="mk-MK"/>
        </w:rPr>
      </w:pPr>
    </w:p>
    <w:p w14:paraId="6CDDE808" w14:textId="7F9FD988" w:rsidR="00FE3382" w:rsidRPr="001C6E11" w:rsidRDefault="001C6E11" w:rsidP="00AA5ACD">
      <w:pPr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Заинтересираните</w:t>
      </w:r>
      <w:r w:rsidR="00FE338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апликанти треба да поднесат предлог</w:t>
      </w:r>
      <w:r w:rsidR="00F10658">
        <w:rPr>
          <w:rFonts w:asciiTheme="majorHAnsi" w:eastAsia="Georgia" w:hAnsiTheme="majorHAnsi" w:cstheme="majorHAnsi"/>
          <w:sz w:val="24"/>
          <w:szCs w:val="24"/>
          <w:lang w:val="mk-MK"/>
        </w:rPr>
        <w:t>-</w:t>
      </w:r>
      <w:r w:rsidR="00FE338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решенија за развој на 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преработка на храна</w:t>
      </w:r>
      <w:r w:rsidR="00FE338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, ќе воспостават трајни комерцијални операции за производство и преработка на одредени про</w:t>
      </w:r>
      <w:r w:rsidR="00F10658">
        <w:rPr>
          <w:rFonts w:asciiTheme="majorHAnsi" w:eastAsia="Georgia" w:hAnsiTheme="majorHAnsi" w:cstheme="majorHAnsi"/>
          <w:sz w:val="24"/>
          <w:szCs w:val="24"/>
          <w:lang w:val="mk-MK"/>
        </w:rPr>
        <w:t>изводи</w:t>
      </w:r>
      <w:r w:rsidR="00FE338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со креирање</w:t>
      </w:r>
      <w:r w:rsidR="00F10658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FE338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функционален и одржлив вредносен синџир, следејќи ги законските прописи и правилниците од донаторот.</w:t>
      </w:r>
    </w:p>
    <w:p w14:paraId="010FE007" w14:textId="0B327B79" w:rsidR="008C3F6A" w:rsidRPr="001C6E11" w:rsidRDefault="00A91CD6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Сите апликанти мора да ја извршуваат дејноста согласно сите важечки правила и процедури на We Effect, Sida, М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режа</w:t>
      </w:r>
      <w:r w:rsidR="00F10658">
        <w:rPr>
          <w:rFonts w:asciiTheme="majorHAnsi" w:eastAsia="Georgia" w:hAnsiTheme="majorHAnsi" w:cstheme="majorHAnsi"/>
          <w:sz w:val="24"/>
          <w:szCs w:val="24"/>
          <w:lang w:val="mk-MK"/>
        </w:rPr>
        <w:t>та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за рурален развој н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 С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еверна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М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акедонија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, SDC и Palladium во согласност со договорот потпишан со М</w:t>
      </w:r>
      <w:r w:rsidR="00AA27D2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режата за рурален развој на Северна Македонија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.</w:t>
      </w:r>
    </w:p>
    <w:p w14:paraId="3469C8CD" w14:textId="137FCB60" w:rsidR="00AA27D2" w:rsidRPr="001C6E11" w:rsidRDefault="00AA27D2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28A9EB9B" w14:textId="77777777" w:rsidR="00AA27D2" w:rsidRPr="001C6E11" w:rsidRDefault="00AA27D2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6AB21D05" w14:textId="77777777" w:rsidR="008C3F6A" w:rsidRPr="001C6E11" w:rsidRDefault="008C3F6A" w:rsidP="00AA5A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4E10378F" w14:textId="77777777" w:rsidR="008C3F6A" w:rsidRPr="001C6E11" w:rsidRDefault="00A91CD6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lastRenderedPageBreak/>
        <w:t xml:space="preserve">Информации за аплицирање </w:t>
      </w:r>
    </w:p>
    <w:p w14:paraId="5C2B3246" w14:textId="32FDD5BE" w:rsidR="008C3F6A" w:rsidRPr="001C6E11" w:rsidRDefault="00A91CD6" w:rsidP="00AA5ACD">
      <w:pPr>
        <w:shd w:val="clear" w:color="auto" w:fill="FFFFFF"/>
        <w:spacing w:before="120" w:after="0" w:line="276" w:lineRule="auto"/>
        <w:ind w:right="173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Апликантите своите предлог</w:t>
      </w:r>
      <w:r w:rsidR="00F10658">
        <w:rPr>
          <w:rFonts w:asciiTheme="majorHAnsi" w:eastAsia="Georgia" w:hAnsiTheme="majorHAnsi" w:cstheme="majorHAnsi"/>
          <w:sz w:val="24"/>
          <w:szCs w:val="24"/>
          <w:lang w:val="mk-MK"/>
        </w:rPr>
        <w:t>-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решенија треба да ги поднесат електронски, на следната </w:t>
      </w:r>
      <w:r w:rsidR="00F10658">
        <w:rPr>
          <w:rFonts w:asciiTheme="majorHAnsi" w:eastAsia="Georgia" w:hAnsiTheme="majorHAnsi" w:cstheme="majorHAnsi"/>
          <w:sz w:val="24"/>
          <w:szCs w:val="24"/>
          <w:lang w:val="mk-MK"/>
        </w:rPr>
        <w:t>мејл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адреса: </w:t>
      </w:r>
      <w:r w:rsidR="009756A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 </w:t>
      </w:r>
      <w:r w:rsidR="009756AA" w:rsidRPr="001C6E11">
        <w:rPr>
          <w:rFonts w:asciiTheme="majorHAnsi" w:eastAsia="Georgia" w:hAnsiTheme="majorHAnsi" w:cstheme="majorHAnsi"/>
          <w:color w:val="1155CC"/>
          <w:sz w:val="24"/>
          <w:szCs w:val="24"/>
          <w:lang w:val="mk-MK"/>
        </w:rPr>
        <w:t>elizabeta.r@ruralnet.mk</w:t>
      </w:r>
      <w:r w:rsidR="009756AA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.</w:t>
      </w:r>
    </w:p>
    <w:p w14:paraId="00349175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7BBCE9CD" w14:textId="4A3C6C2C" w:rsidR="008C3F6A" w:rsidRPr="001C6E11" w:rsidRDefault="00A91CD6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Крајниот рок за аплицирање</w:t>
      </w:r>
      <w:r w:rsidR="00165C97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на повикот е 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</w:t>
      </w:r>
      <w:r w:rsidR="000A34AE" w:rsidRPr="001C6E11">
        <w:rPr>
          <w:rFonts w:asciiTheme="majorHAnsi" w:eastAsia="Georgia" w:hAnsiTheme="majorHAnsi" w:cstheme="majorHAnsi"/>
          <w:b/>
          <w:color w:val="000000" w:themeColor="text1"/>
          <w:sz w:val="24"/>
          <w:szCs w:val="24"/>
          <w:lang w:val="mk-MK"/>
        </w:rPr>
        <w:t>22</w:t>
      </w:r>
      <w:r w:rsidR="00165C97" w:rsidRPr="001C6E11">
        <w:rPr>
          <w:rFonts w:asciiTheme="majorHAnsi" w:eastAsia="Georgia" w:hAnsiTheme="majorHAnsi" w:cstheme="majorHAnsi"/>
          <w:b/>
          <w:color w:val="000000" w:themeColor="text1"/>
          <w:sz w:val="24"/>
          <w:szCs w:val="24"/>
          <w:lang w:val="mk-MK"/>
        </w:rPr>
        <w:t>.0</w:t>
      </w:r>
      <w:r w:rsidR="000A34AE" w:rsidRPr="001C6E11">
        <w:rPr>
          <w:rFonts w:asciiTheme="majorHAnsi" w:eastAsia="Georgia" w:hAnsiTheme="majorHAnsi" w:cstheme="majorHAnsi"/>
          <w:b/>
          <w:color w:val="000000" w:themeColor="text1"/>
          <w:sz w:val="24"/>
          <w:szCs w:val="24"/>
          <w:lang w:val="mk-MK"/>
        </w:rPr>
        <w:t>7</w:t>
      </w:r>
      <w:r w:rsidR="00165C97" w:rsidRPr="001C6E11">
        <w:rPr>
          <w:rFonts w:asciiTheme="majorHAnsi" w:eastAsia="Georgia" w:hAnsiTheme="majorHAnsi" w:cstheme="majorHAnsi"/>
          <w:b/>
          <w:color w:val="000000" w:themeColor="text1"/>
          <w:sz w:val="24"/>
          <w:szCs w:val="24"/>
          <w:lang w:val="mk-MK"/>
        </w:rPr>
        <w:t>.2022</w:t>
      </w:r>
      <w:r w:rsidR="00165C97" w:rsidRPr="001C6E11">
        <w:rPr>
          <w:rFonts w:asciiTheme="majorHAnsi" w:eastAsia="Georgia" w:hAnsiTheme="majorHAnsi" w:cstheme="majorHAnsi"/>
          <w:color w:val="000000" w:themeColor="text1"/>
          <w:sz w:val="24"/>
          <w:szCs w:val="24"/>
          <w:lang w:val="mk-MK"/>
        </w:rPr>
        <w:t xml:space="preserve"> година</w:t>
      </w:r>
      <w:r w:rsidR="00165C97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. </w:t>
      </w:r>
    </w:p>
    <w:p w14:paraId="06FD46A0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</w:pPr>
    </w:p>
    <w:p w14:paraId="3D8B2CD6" w14:textId="5E3D41A3" w:rsidR="008C3F6A" w:rsidRPr="001C6E11" w:rsidRDefault="00A91CD6" w:rsidP="00AA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Сите апликации </w:t>
      </w:r>
      <w:r w:rsidR="001C6E11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од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овој јавен повик треба да содржат технички предлог (</w:t>
      </w:r>
      <w:r w:rsidR="00F21ACB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Ф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ормулар</w:t>
      </w:r>
      <w:r w:rsidR="00F21ACB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за аплицирање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) и предлог буџет.</w:t>
      </w:r>
      <w:r w:rsidR="00F10658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Техничкиот предлог мора да биде доставен на македонски јазик. Предлог за трошоците се доставува како посебен документ и додаток на техничкиот предлог. На апликантите им се препорачува да го пополнат формуларот за буџет што е можно подетално. Паушални суми нема да бидат прифатени. На апликантите им е дозволено да ги менуваат буџетските линии според потребите на активностите на предлогот. Потребниот формат за апликации е вклучен како Анекс 1 - </w:t>
      </w:r>
      <w:r w:rsidR="003C5B36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Ф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ормулар</w:t>
      </w:r>
      <w:r w:rsidR="003C5B36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за аплицирање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</w:t>
      </w:r>
      <w:r w:rsidR="002C17ED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и Анекс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1</w:t>
      </w:r>
      <w:r w:rsidR="002C17ED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А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- Образец за буџет.</w:t>
      </w:r>
    </w:p>
    <w:p w14:paraId="38D078A8" w14:textId="7DCB9760" w:rsidR="000A34AE" w:rsidRPr="001C6E11" w:rsidRDefault="0073050D" w:rsidP="00AA5ACD">
      <w:pPr>
        <w:shd w:val="clear" w:color="auto" w:fill="FFFFFF"/>
        <w:spacing w:before="240" w:after="240" w:line="276" w:lineRule="auto"/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Со цел 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подетално запознавање со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Центарот за преработка н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а храна и посета на просторот, на </w:t>
      </w:r>
      <w:r w:rsidR="000A34AE" w:rsidRPr="001C6E11">
        <w:rPr>
          <w:rFonts w:asciiTheme="majorHAnsi" w:eastAsia="Georgia" w:hAnsiTheme="majorHAnsi" w:cstheme="majorHAnsi"/>
          <w:b/>
          <w:color w:val="202124"/>
          <w:sz w:val="24"/>
          <w:szCs w:val="24"/>
          <w:lang w:val="mk-MK"/>
        </w:rPr>
        <w:t>15.07.2022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ќе биде организиран информативен ден, на кој заинтересираните апликанти ќе може да закажат посета и состанок со претставници од М</w:t>
      </w:r>
      <w:r w:rsidR="002C4710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режата за рурален развој на Северна Македонија 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и ЛАГ</w:t>
      </w:r>
      <w:r w:rsidR="002C4710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Малеш</w:t>
      </w:r>
      <w:r w:rsidR="00427EBE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-</w:t>
      </w:r>
      <w:r w:rsidR="002C4710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Пијанец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.</w:t>
      </w:r>
    </w:p>
    <w:p w14:paraId="050B105F" w14:textId="6F0BF968" w:rsidR="000A34AE" w:rsidRPr="001C6E11" w:rsidRDefault="000A34AE" w:rsidP="00AA5ACD">
      <w:pPr>
        <w:shd w:val="clear" w:color="auto" w:fill="FFFFFF"/>
        <w:spacing w:before="240" w:after="240" w:line="276" w:lineRule="auto"/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Состаноците ќе бидат организирани во периодот од 10 до 14 часот, со претходно закажување на телефонот за контакт 078/303-819, Елизабета Ристеска-Мрческа. </w:t>
      </w:r>
    </w:p>
    <w:p w14:paraId="08970DA5" w14:textId="11332B27" w:rsidR="008C3F6A" w:rsidRPr="001C6E11" w:rsidRDefault="00A91CD6" w:rsidP="00AA5ACD">
      <w:pPr>
        <w:shd w:val="clear" w:color="auto" w:fill="FFFFFF"/>
        <w:spacing w:before="240" w:after="24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За 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други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дополнителни информации во врска со повикот</w:t>
      </w:r>
      <w:r w:rsidR="00F10658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обратете се на тел</w:t>
      </w:r>
      <w:r w:rsidR="00303D0D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ефонскиот б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ро</w:t>
      </w:r>
      <w:r w:rsidR="000A34AE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ј 078/303-819,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или на </w:t>
      </w:r>
      <w:r w:rsidR="00F10658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мејл адресата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: </w:t>
      </w:r>
      <w:r w:rsidRPr="001C6E11">
        <w:rPr>
          <w:rFonts w:asciiTheme="majorHAnsi" w:eastAsia="Georgia" w:hAnsiTheme="majorHAnsi" w:cstheme="majorHAnsi"/>
          <w:color w:val="1155CC"/>
          <w:sz w:val="24"/>
          <w:szCs w:val="24"/>
          <w:lang w:val="mk-MK"/>
        </w:rPr>
        <w:t>elizabeta.r@ruralnet.mk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.</w:t>
      </w:r>
    </w:p>
    <w:p w14:paraId="7BC24C4A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67F5B70E" w14:textId="77777777" w:rsidR="008C3F6A" w:rsidRPr="001C6E11" w:rsidRDefault="00A91CD6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>ЕВАЛУАЦИЈА НА АПЛИКАЦИИ</w:t>
      </w:r>
    </w:p>
    <w:p w14:paraId="587C7DCF" w14:textId="50183FF8" w:rsidR="008C3F6A" w:rsidRPr="001C6E11" w:rsidRDefault="00A91CD6" w:rsidP="00AA5ACD">
      <w:pPr>
        <w:shd w:val="clear" w:color="auto" w:fill="FFFFFF"/>
        <w:spacing w:before="173" w:after="173" w:line="276" w:lineRule="auto"/>
        <w:ind w:right="173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Добиените апликации ќе бидат разгледани во согласност со претходно утврдените критериуми</w:t>
      </w:r>
      <w:r w:rsidR="00165C97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. На разгледувањето и оценката на апликациите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ќе </w:t>
      </w:r>
      <w:r w:rsidR="00165C97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работи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комисија составена од членови од М</w:t>
      </w:r>
      <w:r w:rsidR="00D41F0F"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режата за рурален развој на Северна Македонија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, ИМЕ програмата, We Effect и Л</w:t>
      </w:r>
      <w:r w:rsidR="00427EBE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>АГ</w:t>
      </w:r>
      <w:r w:rsid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lang w:val="mk-MK"/>
        </w:rPr>
        <w:t xml:space="preserve">Малеш-Пијанец. Комисијата ќе ги разгледа сите пристигнати апликации најдоцна во рок </w:t>
      </w:r>
      <w:r w:rsidRPr="001C6E11">
        <w:rPr>
          <w:rFonts w:asciiTheme="majorHAnsi" w:eastAsia="Georgia" w:hAnsiTheme="majorHAnsi" w:cstheme="majorHAnsi"/>
          <w:color w:val="000000" w:themeColor="text1"/>
          <w:sz w:val="24"/>
          <w:szCs w:val="24"/>
          <w:lang w:val="mk-MK"/>
        </w:rPr>
        <w:t xml:space="preserve">од 15 работни дена од 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датумот на поднесување и соодветно ќе ги информира сите апликанти</w:t>
      </w:r>
      <w:r w:rsidR="00165C97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за исходот од процесот на </w:t>
      </w:r>
      <w:r w:rsidR="001C6E11"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селекција</w:t>
      </w: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.</w:t>
      </w:r>
    </w:p>
    <w:p w14:paraId="3AF3535A" w14:textId="46252BF7" w:rsidR="008C3F6A" w:rsidRPr="001C6E11" w:rsidRDefault="00A91CD6" w:rsidP="00AA5ACD">
      <w:pPr>
        <w:spacing w:before="120" w:after="120" w:line="276" w:lineRule="auto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DC493C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Доколку комисијата утврди дека е </w:t>
      </w:r>
      <w:r w:rsidR="001C6E11" w:rsidRPr="00DC493C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потребно</w:t>
      </w:r>
      <w:r w:rsidRPr="00DC493C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</w:t>
      </w:r>
      <w:r w:rsidR="001C6E11" w:rsidRPr="00DC493C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дополнително</w:t>
      </w:r>
      <w:r w:rsidRPr="00DC493C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 xml:space="preserve"> појаснување и дополнителни материјали од апликантите чии апликации имаат разумни шанси да бидат избрани на Повикот</w:t>
      </w:r>
      <w:r w:rsidR="00DC493C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, ќе биде побарано нивно дополнително доставување.</w:t>
      </w:r>
    </w:p>
    <w:p w14:paraId="23D185C7" w14:textId="49538A29" w:rsidR="008C3F6A" w:rsidRPr="001C6E11" w:rsidRDefault="00A91CD6" w:rsidP="00AA5ACD">
      <w:pPr>
        <w:spacing w:line="276" w:lineRule="auto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  <w:t>Апликациите за добивање поддршка според овој повик ќе бидат оценети од Комисијата за селекција според следните критериуми:</w:t>
      </w:r>
    </w:p>
    <w:p w14:paraId="24E829A7" w14:textId="77777777" w:rsidR="00D41F0F" w:rsidRPr="001C6E11" w:rsidRDefault="00D41F0F" w:rsidP="00AA5ACD">
      <w:pPr>
        <w:spacing w:line="276" w:lineRule="auto"/>
        <w:rPr>
          <w:rFonts w:asciiTheme="majorHAnsi" w:eastAsia="Georgia" w:hAnsiTheme="majorHAnsi" w:cstheme="majorHAnsi"/>
          <w:color w:val="auto"/>
          <w:sz w:val="24"/>
          <w:szCs w:val="24"/>
          <w:lang w:val="mk-MK"/>
        </w:rPr>
      </w:pPr>
    </w:p>
    <w:p w14:paraId="3805F437" w14:textId="77777777" w:rsidR="008C3F6A" w:rsidRPr="001C6E11" w:rsidRDefault="008C3F6A" w:rsidP="00AA5ACD">
      <w:pPr>
        <w:spacing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tbl>
      <w:tblPr>
        <w:tblStyle w:val="a1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8C3F6A" w:rsidRPr="001C6E11" w14:paraId="020D2D96" w14:textId="77777777" w:rsidTr="008C3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6A6A6"/>
          </w:tcPr>
          <w:p w14:paraId="5776C269" w14:textId="77777777" w:rsidR="008C3F6A" w:rsidRPr="001C6E11" w:rsidRDefault="00A91CD6" w:rsidP="00AA5ACD">
            <w:pPr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 w:val="0"/>
                <w:sz w:val="24"/>
                <w:szCs w:val="24"/>
                <w:lang w:val="mk-MK"/>
              </w:rPr>
              <w:lastRenderedPageBreak/>
              <w:t>Критериуми според кои предлозите ќе бидат евалуирани</w:t>
            </w:r>
          </w:p>
        </w:tc>
      </w:tr>
    </w:tbl>
    <w:p w14:paraId="4E9A7522" w14:textId="77777777" w:rsidR="008C3F6A" w:rsidRPr="001C6E11" w:rsidRDefault="008C3F6A" w:rsidP="00AA5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tbl>
      <w:tblPr>
        <w:tblStyle w:val="a2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C3F6A" w:rsidRPr="001C6E11" w14:paraId="285F429F" w14:textId="77777777">
        <w:trPr>
          <w:cantSplit/>
        </w:trPr>
        <w:tc>
          <w:tcPr>
            <w:tcW w:w="9630" w:type="dxa"/>
            <w:vAlign w:val="bottom"/>
          </w:tcPr>
          <w:p w14:paraId="168C888D" w14:textId="77777777" w:rsidR="008C3F6A" w:rsidRPr="001C6E11" w:rsidRDefault="00A91CD6" w:rsidP="00AA5ACD">
            <w:pPr>
              <w:spacing w:after="0"/>
              <w:ind w:left="73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>Компатибилност на идејата со целите на повикот (35 поени)</w:t>
            </w:r>
          </w:p>
        </w:tc>
      </w:tr>
      <w:tr w:rsidR="008C3F6A" w:rsidRPr="001C6E11" w14:paraId="28B309C8" w14:textId="77777777">
        <w:trPr>
          <w:cantSplit/>
        </w:trPr>
        <w:tc>
          <w:tcPr>
            <w:tcW w:w="9630" w:type="dxa"/>
            <w:vAlign w:val="bottom"/>
          </w:tcPr>
          <w:p w14:paraId="698B867B" w14:textId="5EC308AC" w:rsidR="008C3F6A" w:rsidRPr="001C6E11" w:rsidRDefault="00A91CD6" w:rsidP="00AA5ACD">
            <w:pPr>
              <w:numPr>
                <w:ilvl w:val="0"/>
                <w:numId w:val="15"/>
              </w:numPr>
              <w:spacing w:after="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Креирање</w:t>
            </w:r>
            <w:r w:rsidR="00F10658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 </w:t>
            </w: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нови работни места (директно или еквивалент на вработување со полно работно време) како резултат на поддршката (10 поени)</w:t>
            </w:r>
          </w:p>
        </w:tc>
      </w:tr>
      <w:tr w:rsidR="008C3F6A" w:rsidRPr="001C6E11" w14:paraId="2B0357FD" w14:textId="77777777">
        <w:trPr>
          <w:cantSplit/>
        </w:trPr>
        <w:tc>
          <w:tcPr>
            <w:tcW w:w="9630" w:type="dxa"/>
            <w:vAlign w:val="bottom"/>
          </w:tcPr>
          <w:p w14:paraId="778B031D" w14:textId="77777777" w:rsidR="008C3F6A" w:rsidRPr="001C6E11" w:rsidRDefault="00A91CD6" w:rsidP="00AA5ACD">
            <w:pPr>
              <w:numPr>
                <w:ilvl w:val="0"/>
                <w:numId w:val="15"/>
              </w:numPr>
              <w:spacing w:after="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Зголемена продажба кај бизнисот на апликантот (15 поени)</w:t>
            </w:r>
          </w:p>
        </w:tc>
      </w:tr>
      <w:tr w:rsidR="008C3F6A" w:rsidRPr="001C6E11" w14:paraId="26DD71AC" w14:textId="77777777">
        <w:trPr>
          <w:cantSplit/>
        </w:trPr>
        <w:tc>
          <w:tcPr>
            <w:tcW w:w="9630" w:type="dxa"/>
            <w:vAlign w:val="bottom"/>
          </w:tcPr>
          <w:p w14:paraId="3A53407B" w14:textId="77777777" w:rsidR="008C3F6A" w:rsidRPr="001C6E11" w:rsidRDefault="00A91CD6" w:rsidP="00AA5ACD">
            <w:pPr>
              <w:numPr>
                <w:ilvl w:val="0"/>
                <w:numId w:val="15"/>
              </w:numPr>
              <w:spacing w:after="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Зголемени вработувања и продажба кај другите чинители со посебен акцент од регионот (10 поени)</w:t>
            </w:r>
          </w:p>
        </w:tc>
      </w:tr>
      <w:tr w:rsidR="008C3F6A" w:rsidRPr="001C6E11" w14:paraId="7FA5836E" w14:textId="77777777">
        <w:trPr>
          <w:cantSplit/>
        </w:trPr>
        <w:tc>
          <w:tcPr>
            <w:tcW w:w="9630" w:type="dxa"/>
            <w:vAlign w:val="bottom"/>
          </w:tcPr>
          <w:p w14:paraId="185E95CC" w14:textId="77777777" w:rsidR="008C3F6A" w:rsidRPr="001C6E11" w:rsidRDefault="00A91CD6" w:rsidP="00AA5ACD">
            <w:pPr>
              <w:spacing w:after="0"/>
              <w:rPr>
                <w:rFonts w:asciiTheme="majorHAnsi" w:eastAsia="Georgia" w:hAnsiTheme="majorHAnsi" w:cstheme="majorHAnsi"/>
                <w:b/>
                <w:color w:val="FF0000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 xml:space="preserve">Технички пристап (30 поени) </w:t>
            </w:r>
          </w:p>
        </w:tc>
      </w:tr>
      <w:tr w:rsidR="008C3F6A" w:rsidRPr="001C6E11" w14:paraId="7B3E16A0" w14:textId="77777777">
        <w:trPr>
          <w:cantSplit/>
        </w:trPr>
        <w:tc>
          <w:tcPr>
            <w:tcW w:w="9630" w:type="dxa"/>
            <w:vAlign w:val="bottom"/>
          </w:tcPr>
          <w:p w14:paraId="0BB00861" w14:textId="77777777" w:rsidR="008C3F6A" w:rsidRPr="001C6E11" w:rsidRDefault="00A91CD6" w:rsidP="00AA5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9" w:hanging="284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Јасна и остварлива методологија за имплементација на активностите во поглед на временска рамка и потребни ресурси (5 поени)</w:t>
            </w:r>
          </w:p>
        </w:tc>
      </w:tr>
      <w:tr w:rsidR="008C3F6A" w:rsidRPr="001C6E11" w14:paraId="768DB842" w14:textId="77777777">
        <w:trPr>
          <w:cantSplit/>
        </w:trPr>
        <w:tc>
          <w:tcPr>
            <w:tcW w:w="9630" w:type="dxa"/>
            <w:vAlign w:val="bottom"/>
          </w:tcPr>
          <w:p w14:paraId="17F6EA78" w14:textId="670465CC" w:rsidR="008C3F6A" w:rsidRPr="001C6E11" w:rsidRDefault="00A91CD6" w:rsidP="00AA5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9" w:hanging="284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Број на </w:t>
            </w:r>
            <w:r w:rsidR="003C5B36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дир</w:t>
            </w:r>
            <w:r w:rsidR="00D41F0F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ектни корисници на услугите на Ц</w:t>
            </w:r>
            <w:r w:rsidR="003C5B36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ентарот за преработка </w:t>
            </w:r>
            <w:r w:rsidR="00D41F0F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на храна </w:t>
            </w: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кои ќе бидат вклучени во проектот и ќе имаат директен интерес (10 поени)</w:t>
            </w:r>
          </w:p>
        </w:tc>
      </w:tr>
      <w:tr w:rsidR="008C3F6A" w:rsidRPr="001C6E11" w14:paraId="57A493A9" w14:textId="77777777">
        <w:trPr>
          <w:cantSplit/>
        </w:trPr>
        <w:tc>
          <w:tcPr>
            <w:tcW w:w="9630" w:type="dxa"/>
            <w:vAlign w:val="bottom"/>
          </w:tcPr>
          <w:p w14:paraId="35E2C4CC" w14:textId="77777777" w:rsidR="008C3F6A" w:rsidRPr="001C6E11" w:rsidRDefault="00A91CD6" w:rsidP="00AA5A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9" w:hanging="284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Степен на иновација на предложената активност во однос на постоечкиот бизнис модел на апликантот (10 поени)</w:t>
            </w:r>
          </w:p>
        </w:tc>
      </w:tr>
      <w:tr w:rsidR="008C3F6A" w:rsidRPr="001C6E11" w14:paraId="205DB39A" w14:textId="77777777">
        <w:trPr>
          <w:cantSplit/>
        </w:trPr>
        <w:tc>
          <w:tcPr>
            <w:tcW w:w="9630" w:type="dxa"/>
            <w:vAlign w:val="bottom"/>
          </w:tcPr>
          <w:p w14:paraId="5FC19428" w14:textId="0D7DD21D" w:rsidR="008C3F6A" w:rsidRPr="001C6E11" w:rsidRDefault="00A91CD6" w:rsidP="00AA5ACD">
            <w:pPr>
              <w:numPr>
                <w:ilvl w:val="0"/>
                <w:numId w:val="3"/>
              </w:numPr>
              <w:spacing w:after="0"/>
              <w:ind w:left="319" w:hanging="284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Активноста </w:t>
            </w:r>
            <w:r w:rsidR="00F10658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придонесува</w:t>
            </w: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 за промоција и дополнител</w:t>
            </w:r>
            <w:r w:rsidR="00F10658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на корист </w:t>
            </w: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за </w:t>
            </w:r>
            <w:r w:rsid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ЛАГ</w:t>
            </w: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-от и локалната заедница (5 поени)</w:t>
            </w:r>
          </w:p>
        </w:tc>
      </w:tr>
      <w:tr w:rsidR="008C3F6A" w:rsidRPr="001C6E11" w14:paraId="6AEBB091" w14:textId="77777777">
        <w:trPr>
          <w:cantSplit/>
        </w:trPr>
        <w:tc>
          <w:tcPr>
            <w:tcW w:w="9630" w:type="dxa"/>
            <w:vAlign w:val="bottom"/>
          </w:tcPr>
          <w:p w14:paraId="45BFD218" w14:textId="77777777" w:rsidR="008C3F6A" w:rsidRPr="001C6E11" w:rsidRDefault="00A91CD6" w:rsidP="00AA5ACD">
            <w:pPr>
              <w:spacing w:after="0"/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>Политика за родова еднаквост и инклузија на младите (10 поени)</w:t>
            </w:r>
          </w:p>
        </w:tc>
      </w:tr>
      <w:tr w:rsidR="008C3F6A" w:rsidRPr="001C6E11" w14:paraId="60CFFDCB" w14:textId="77777777">
        <w:trPr>
          <w:cantSplit/>
        </w:trPr>
        <w:tc>
          <w:tcPr>
            <w:tcW w:w="9630" w:type="dxa"/>
            <w:vAlign w:val="bottom"/>
          </w:tcPr>
          <w:p w14:paraId="6EE1A050" w14:textId="77777777" w:rsidR="008C3F6A" w:rsidRPr="001C6E11" w:rsidRDefault="00A91CD6" w:rsidP="00AA5A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Директна соработка и иницијативи за вклучување на младите (години 19-29) (5 поени)</w:t>
            </w:r>
          </w:p>
        </w:tc>
      </w:tr>
      <w:tr w:rsidR="008C3F6A" w:rsidRPr="001C6E11" w14:paraId="3D0FE10F" w14:textId="77777777">
        <w:trPr>
          <w:cantSplit/>
        </w:trPr>
        <w:tc>
          <w:tcPr>
            <w:tcW w:w="9630" w:type="dxa"/>
            <w:vAlign w:val="bottom"/>
          </w:tcPr>
          <w:p w14:paraId="264841C5" w14:textId="77777777" w:rsidR="008C3F6A" w:rsidRPr="001C6E11" w:rsidRDefault="00A91CD6" w:rsidP="00AA5A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Директна соработка и иницијативи за вклучување на жените (5 поени)</w:t>
            </w:r>
          </w:p>
        </w:tc>
      </w:tr>
      <w:tr w:rsidR="008C3F6A" w:rsidRPr="001C6E11" w14:paraId="33ED8870" w14:textId="77777777">
        <w:trPr>
          <w:cantSplit/>
        </w:trPr>
        <w:tc>
          <w:tcPr>
            <w:tcW w:w="9630" w:type="dxa"/>
            <w:vAlign w:val="bottom"/>
          </w:tcPr>
          <w:p w14:paraId="2539C2A9" w14:textId="77777777" w:rsidR="008C3F6A" w:rsidRPr="001C6E11" w:rsidRDefault="00A91CD6" w:rsidP="00AA5ACD">
            <w:pPr>
              <w:spacing w:after="0"/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>Капацитети на организацијата/апликантот (10 поени)</w:t>
            </w:r>
          </w:p>
        </w:tc>
      </w:tr>
      <w:tr w:rsidR="008C3F6A" w:rsidRPr="001C6E11" w14:paraId="769C25EB" w14:textId="77777777">
        <w:trPr>
          <w:cantSplit/>
        </w:trPr>
        <w:tc>
          <w:tcPr>
            <w:tcW w:w="9630" w:type="dxa"/>
            <w:vAlign w:val="bottom"/>
          </w:tcPr>
          <w:p w14:paraId="3A980F9F" w14:textId="77777777" w:rsidR="008C3F6A" w:rsidRPr="001C6E11" w:rsidRDefault="00A91CD6" w:rsidP="00AA5ACD">
            <w:pPr>
              <w:numPr>
                <w:ilvl w:val="0"/>
                <w:numId w:val="14"/>
              </w:numPr>
              <w:spacing w:after="0"/>
              <w:ind w:left="36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Апликантот има добро портфолио и позиционираност на пазарот (5 поени)</w:t>
            </w:r>
          </w:p>
        </w:tc>
      </w:tr>
      <w:tr w:rsidR="008C3F6A" w:rsidRPr="001C6E11" w14:paraId="24E9361A" w14:textId="77777777">
        <w:trPr>
          <w:cantSplit/>
        </w:trPr>
        <w:tc>
          <w:tcPr>
            <w:tcW w:w="9630" w:type="dxa"/>
            <w:vAlign w:val="bottom"/>
          </w:tcPr>
          <w:p w14:paraId="5F679C6F" w14:textId="77777777" w:rsidR="008C3F6A" w:rsidRPr="001C6E11" w:rsidRDefault="00A91CD6" w:rsidP="00AA5ACD">
            <w:pPr>
              <w:numPr>
                <w:ilvl w:val="0"/>
                <w:numId w:val="14"/>
              </w:numPr>
              <w:spacing w:after="0"/>
              <w:ind w:left="36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Апликантот располага со менаџерски капацитети и потенцијал да ги развие и имплементира активностите од повикот (5 поени)</w:t>
            </w:r>
          </w:p>
        </w:tc>
      </w:tr>
      <w:tr w:rsidR="008C3F6A" w:rsidRPr="001C6E11" w14:paraId="5C0B0783" w14:textId="77777777">
        <w:trPr>
          <w:cantSplit/>
        </w:trPr>
        <w:tc>
          <w:tcPr>
            <w:tcW w:w="9630" w:type="dxa"/>
            <w:vAlign w:val="bottom"/>
          </w:tcPr>
          <w:p w14:paraId="21CD4CE1" w14:textId="77777777" w:rsidR="008C3F6A" w:rsidRPr="001C6E11" w:rsidRDefault="00A91CD6" w:rsidP="00AA5ACD">
            <w:pPr>
              <w:spacing w:after="0"/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>Дополнително финансирање од страна на апликантот (10 поени)</w:t>
            </w:r>
          </w:p>
        </w:tc>
      </w:tr>
      <w:tr w:rsidR="008C3F6A" w:rsidRPr="001C6E11" w14:paraId="6CF3799E" w14:textId="77777777">
        <w:trPr>
          <w:cantSplit/>
          <w:trHeight w:val="197"/>
        </w:trPr>
        <w:tc>
          <w:tcPr>
            <w:tcW w:w="9630" w:type="dxa"/>
            <w:shd w:val="clear" w:color="auto" w:fill="auto"/>
            <w:vAlign w:val="bottom"/>
          </w:tcPr>
          <w:p w14:paraId="2E2C1A23" w14:textId="13B6C65D" w:rsidR="008C3F6A" w:rsidRPr="001C6E11" w:rsidRDefault="00A91CD6" w:rsidP="00AA5ACD">
            <w:pPr>
              <w:numPr>
                <w:ilvl w:val="0"/>
                <w:numId w:val="1"/>
              </w:numPr>
              <w:spacing w:after="0"/>
              <w:ind w:left="360" w:hanging="36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Финансиско учество на апликантот во инвестиции и други трошоци за комерцијализација на </w:t>
            </w:r>
            <w:r w:rsidR="00D41F0F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Центарот за преработка на</w:t>
            </w:r>
            <w:r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 храна (10 поени)</w:t>
            </w:r>
          </w:p>
        </w:tc>
      </w:tr>
      <w:tr w:rsidR="008C3F6A" w:rsidRPr="001C6E11" w14:paraId="7A1FB113" w14:textId="77777777">
        <w:trPr>
          <w:cantSplit/>
          <w:trHeight w:val="197"/>
        </w:trPr>
        <w:tc>
          <w:tcPr>
            <w:tcW w:w="9630" w:type="dxa"/>
            <w:shd w:val="clear" w:color="auto" w:fill="auto"/>
            <w:vAlign w:val="bottom"/>
          </w:tcPr>
          <w:p w14:paraId="538D987C" w14:textId="77777777" w:rsidR="008C3F6A" w:rsidRPr="001C6E11" w:rsidRDefault="00A91CD6" w:rsidP="00AA5ACD">
            <w:pPr>
              <w:spacing w:after="0"/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</w:pPr>
            <w:r w:rsidRPr="001C6E11">
              <w:rPr>
                <w:rFonts w:asciiTheme="majorHAnsi" w:eastAsia="Georgia" w:hAnsiTheme="majorHAnsi" w:cstheme="majorHAnsi"/>
                <w:b/>
                <w:sz w:val="24"/>
                <w:szCs w:val="24"/>
                <w:lang w:val="mk-MK"/>
              </w:rPr>
              <w:t>Локација на бизнисот (5 поени)</w:t>
            </w:r>
          </w:p>
        </w:tc>
      </w:tr>
      <w:tr w:rsidR="008C3F6A" w:rsidRPr="001C6E11" w14:paraId="1EA96D63" w14:textId="77777777">
        <w:trPr>
          <w:cantSplit/>
          <w:trHeight w:val="197"/>
        </w:trPr>
        <w:tc>
          <w:tcPr>
            <w:tcW w:w="9630" w:type="dxa"/>
            <w:shd w:val="clear" w:color="auto" w:fill="auto"/>
            <w:vAlign w:val="bottom"/>
          </w:tcPr>
          <w:p w14:paraId="2CD9128D" w14:textId="04A5C95C" w:rsidR="008C3F6A" w:rsidRPr="001C6E11" w:rsidRDefault="006B0EAA" w:rsidP="006B0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</w:pPr>
            <w:r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 xml:space="preserve">1.  </w:t>
            </w:r>
            <w:r w:rsidR="00A91CD6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Бизнис р</w:t>
            </w:r>
            <w:r w:rsidR="0073050D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егистриран во реонот на Малеш</w:t>
            </w:r>
            <w:r w:rsidR="00427EBE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-</w:t>
            </w:r>
            <w:r w:rsidR="00A91CD6" w:rsidRPr="001C6E11">
              <w:rPr>
                <w:rFonts w:asciiTheme="majorHAnsi" w:eastAsia="Georgia" w:hAnsiTheme="majorHAnsi" w:cstheme="majorHAnsi"/>
                <w:sz w:val="24"/>
                <w:szCs w:val="24"/>
                <w:lang w:val="mk-MK"/>
              </w:rPr>
              <w:t>Пијанец (5 поени)</w:t>
            </w:r>
          </w:p>
        </w:tc>
      </w:tr>
    </w:tbl>
    <w:p w14:paraId="64D63159" w14:textId="77777777" w:rsidR="008C3F6A" w:rsidRPr="001C6E11" w:rsidRDefault="008C3F6A" w:rsidP="00AA5ACD">
      <w:pPr>
        <w:spacing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083020FE" w14:textId="0AE07654" w:rsidR="008C3F6A" w:rsidRPr="001C6E11" w:rsidRDefault="00A91CD6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</w:pP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>М</w:t>
      </w:r>
      <w:r w:rsidR="00D41F0F"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>режата за рурален развој на Северна Македонија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 го задржува правото да финансира која било или ниту една од поднесените апликации. Издавањето на овој повик не претставува обврска за доделување од страна на</w:t>
      </w:r>
      <w:r w:rsidR="00D41F0F"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 Мрежата за рурален развој на Северна Македонија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>,</w:t>
      </w:r>
      <w:r w:rsidR="006D1BF2"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 ниту пак ја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 обврзува </w:t>
      </w:r>
      <w:r w:rsidR="00D41F0F"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Мрежата за рурален развој на Северна Македонија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да плати за трошоците направени при подготовката и поднесувањето на апликацијата. Понатаму, </w:t>
      </w:r>
      <w:r w:rsidR="00D41F0F"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Мрежата за рурален развој на Северна Македонија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>го задржува правото да одбие која било или сите пристигнати апликации доколку таквите дејства се во најдобар интерес на Sida и We Effect. Апликациите се поднесуваат на трошок на Апликантот</w:t>
      </w:r>
      <w:r w:rsidR="00391B3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 и 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доколку одредени околности </w:t>
      </w:r>
      <w:r w:rsidR="00391B3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>го</w:t>
      </w:r>
      <w:r w:rsidRPr="001C6E11"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  <w:t xml:space="preserve"> спречат донесувањето на одлуката, сите трошоци за подготовка и поднесување се на товар на апликантот.</w:t>
      </w:r>
    </w:p>
    <w:p w14:paraId="396E54D7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</w:pPr>
    </w:p>
    <w:p w14:paraId="58B98828" w14:textId="77777777" w:rsidR="008C3F6A" w:rsidRPr="001C6E11" w:rsidRDefault="008C3F6A" w:rsidP="00AA5ACD">
      <w:pPr>
        <w:shd w:val="clear" w:color="auto" w:fill="FFFFFF"/>
        <w:spacing w:after="0" w:line="276" w:lineRule="auto"/>
        <w:ind w:right="173"/>
        <w:rPr>
          <w:rFonts w:asciiTheme="majorHAnsi" w:eastAsia="Georgia" w:hAnsiTheme="majorHAnsi" w:cstheme="majorHAnsi"/>
          <w:color w:val="202124"/>
          <w:sz w:val="24"/>
          <w:szCs w:val="24"/>
          <w:highlight w:val="white"/>
          <w:lang w:val="mk-MK"/>
        </w:rPr>
      </w:pPr>
    </w:p>
    <w:p w14:paraId="60A94E61" w14:textId="77777777" w:rsidR="008C3F6A" w:rsidRPr="001C6E11" w:rsidRDefault="00A91CD6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lastRenderedPageBreak/>
        <w:t>АНЕКСИ ( ДОПОЛНИТЕЛНИ ДОКУМЕНТИ)</w:t>
      </w:r>
    </w:p>
    <w:p w14:paraId="5A30D600" w14:textId="3440F17A" w:rsidR="008C3F6A" w:rsidRPr="001C6E11" w:rsidRDefault="001C6E11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Анекс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1: </w:t>
      </w:r>
      <w:r w:rsidR="00F14664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Ф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ормулар</w:t>
      </w:r>
      <w:r w:rsidR="00F14664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за аплицирање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(наративен опис на пре</w:t>
      </w:r>
      <w:r w:rsidR="00F14664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д</w:t>
      </w:r>
      <w:r w:rsidR="00A91CD6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лог решението) за комерцијализација на </w:t>
      </w:r>
      <w:r w:rsidR="00D41F0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Центарот за пре</w:t>
      </w:r>
      <w:r w:rsidR="0073050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ра</w:t>
      </w:r>
      <w:r w:rsidR="00D41F0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ботка на храна.</w:t>
      </w:r>
    </w:p>
    <w:p w14:paraId="1E8E9405" w14:textId="12528B94" w:rsidR="008C3F6A" w:rsidRPr="001C6E11" w:rsidRDefault="001C6E11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Анекс</w:t>
      </w:r>
      <w:r w:rsidR="0073050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1A</w:t>
      </w:r>
      <w:r>
        <w:rPr>
          <w:rFonts w:asciiTheme="majorHAnsi" w:eastAsia="Georgia" w:hAnsiTheme="majorHAnsi" w:cstheme="majorHAnsi"/>
          <w:sz w:val="24"/>
          <w:szCs w:val="24"/>
          <w:lang w:val="mk-MK"/>
        </w:rPr>
        <w:t>:</w:t>
      </w:r>
      <w:r w:rsidR="0073050D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Буџет на проектот.</w:t>
      </w:r>
    </w:p>
    <w:p w14:paraId="5ED14B5F" w14:textId="77777777" w:rsidR="008C3F6A" w:rsidRPr="001C6E11" w:rsidRDefault="008C3F6A" w:rsidP="00AA5ACD">
      <w:pP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</w:p>
    <w:p w14:paraId="1E456743" w14:textId="77777777" w:rsidR="008C3F6A" w:rsidRPr="001C6E11" w:rsidRDefault="00A91CD6" w:rsidP="00AA5ACD">
      <w:pPr>
        <w:pStyle w:val="Heading1"/>
        <w:numPr>
          <w:ilvl w:val="0"/>
          <w:numId w:val="4"/>
        </w:numPr>
        <w:spacing w:before="0" w:line="276" w:lineRule="auto"/>
        <w:rPr>
          <w:rFonts w:eastAsia="Georgia" w:cstheme="majorHAnsi"/>
          <w:sz w:val="24"/>
          <w:szCs w:val="24"/>
          <w:lang w:val="mk-MK"/>
        </w:rPr>
      </w:pPr>
      <w:r w:rsidRPr="001C6E11">
        <w:rPr>
          <w:rFonts w:eastAsia="Georgia" w:cstheme="majorHAnsi"/>
          <w:sz w:val="24"/>
          <w:szCs w:val="24"/>
          <w:lang w:val="mk-MK"/>
        </w:rPr>
        <w:t>ПОТРЕБНИ ДОКУМЕНТИ</w:t>
      </w:r>
    </w:p>
    <w:p w14:paraId="67973075" w14:textId="2E0BAB62" w:rsidR="008C3F6A" w:rsidRPr="001C6E11" w:rsidRDefault="00A91CD6" w:rsidP="00AA5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Тековна состојба издадена од Р</w:t>
      </w:r>
      <w:r w:rsidR="00D41F0F"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епублика Северна Македонија</w:t>
      </w: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 (ако е правно лице)</w:t>
      </w:r>
    </w:p>
    <w:p w14:paraId="2E2ADE68" w14:textId="63FF472B" w:rsidR="008C3F6A" w:rsidRPr="001C6E11" w:rsidRDefault="00A91CD6" w:rsidP="00AA5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Решение за основање на ентитетот  (ако е правно лице)</w:t>
      </w:r>
    </w:p>
    <w:p w14:paraId="3DA316D2" w14:textId="4621903E" w:rsidR="008C3F6A" w:rsidRPr="001C6E11" w:rsidRDefault="00A91CD6" w:rsidP="00AA5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 xml:space="preserve">Биланс на успех од последната календарска година  (ако е правно лице) </w:t>
      </w:r>
    </w:p>
    <w:p w14:paraId="48ADEBC8" w14:textId="5E77E8BB" w:rsidR="008C3F6A" w:rsidRPr="001C6E11" w:rsidRDefault="00A91CD6" w:rsidP="001C6E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Georgia" w:hAnsiTheme="majorHAnsi" w:cstheme="majorHAnsi"/>
          <w:sz w:val="24"/>
          <w:szCs w:val="24"/>
          <w:lang w:val="mk-MK"/>
        </w:rPr>
      </w:pPr>
      <w:r w:rsidRPr="001C6E11">
        <w:rPr>
          <w:rFonts w:asciiTheme="majorHAnsi" w:eastAsia="Georgia" w:hAnsiTheme="majorHAnsi" w:cstheme="majorHAnsi"/>
          <w:sz w:val="24"/>
          <w:szCs w:val="24"/>
          <w:lang w:val="mk-MK"/>
        </w:rPr>
        <w:t>Завршна сметка од последната календарска година  (ако е правно лице)</w:t>
      </w:r>
    </w:p>
    <w:sectPr w:rsidR="008C3F6A" w:rsidRPr="001C6E11">
      <w:footerReference w:type="default" r:id="rId9"/>
      <w:headerReference w:type="first" r:id="rId10"/>
      <w:footerReference w:type="first" r:id="rId11"/>
      <w:pgSz w:w="11906" w:h="16838"/>
      <w:pgMar w:top="1135" w:right="1134" w:bottom="1276" w:left="1134" w:header="709" w:footer="7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8149" w14:textId="77777777" w:rsidR="00D921F0" w:rsidRDefault="00D921F0">
      <w:pPr>
        <w:spacing w:after="0"/>
      </w:pPr>
      <w:r>
        <w:separator/>
      </w:r>
    </w:p>
  </w:endnote>
  <w:endnote w:type="continuationSeparator" w:id="0">
    <w:p w14:paraId="63AE1A79" w14:textId="77777777" w:rsidR="00D921F0" w:rsidRDefault="00D92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bi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C047" w14:textId="20977AB3" w:rsidR="008C3F6A" w:rsidRDefault="00A91CD6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rPr>
        <w:rFonts w:ascii="Gill Sans" w:eastAsia="Gill Sans" w:hAnsi="Gill Sans" w:cs="Gill Sans"/>
        <w:color w:val="9D9FA2"/>
        <w:sz w:val="18"/>
        <w:szCs w:val="18"/>
      </w:rPr>
    </w:pPr>
    <w:r>
      <w:rPr>
        <w:rFonts w:ascii="Gill Sans" w:eastAsia="Gill Sans" w:hAnsi="Gill Sans" w:cs="Gill Sans"/>
        <w:color w:val="9D9FA2"/>
        <w:sz w:val="18"/>
        <w:szCs w:val="18"/>
      </w:rPr>
      <w:t xml:space="preserve">     </w:t>
    </w:r>
    <w:r>
      <w:rPr>
        <w:rFonts w:ascii="Gill Sans" w:eastAsia="Gill Sans" w:hAnsi="Gill Sans" w:cs="Gill Sans"/>
        <w:color w:val="9D9FA2"/>
        <w:sz w:val="18"/>
        <w:szCs w:val="18"/>
      </w:rPr>
      <w:tab/>
    </w:r>
    <w:r>
      <w:rPr>
        <w:rFonts w:ascii="Gill Sans" w:eastAsia="Gill Sans" w:hAnsi="Gill Sans" w:cs="Gill Sans"/>
        <w:color w:val="9D9FA2"/>
        <w:sz w:val="18"/>
        <w:szCs w:val="18"/>
      </w:rPr>
      <w:fldChar w:fldCharType="begin"/>
    </w:r>
    <w:r>
      <w:rPr>
        <w:rFonts w:ascii="Gill Sans" w:eastAsia="Gill Sans" w:hAnsi="Gill Sans" w:cs="Gill Sans"/>
        <w:color w:val="9D9FA2"/>
        <w:sz w:val="18"/>
        <w:szCs w:val="18"/>
      </w:rPr>
      <w:instrText>PAGE</w:instrText>
    </w:r>
    <w:r>
      <w:rPr>
        <w:rFonts w:ascii="Gill Sans" w:eastAsia="Gill Sans" w:hAnsi="Gill Sans" w:cs="Gill Sans"/>
        <w:color w:val="9D9FA2"/>
        <w:sz w:val="18"/>
        <w:szCs w:val="18"/>
      </w:rPr>
      <w:fldChar w:fldCharType="separate"/>
    </w:r>
    <w:r w:rsidR="00F228B0">
      <w:rPr>
        <w:rFonts w:ascii="Gill Sans" w:eastAsia="Gill Sans" w:hAnsi="Gill Sans" w:cs="Gill Sans"/>
        <w:noProof/>
        <w:color w:val="9D9FA2"/>
        <w:sz w:val="18"/>
        <w:szCs w:val="18"/>
      </w:rPr>
      <w:t>2</w:t>
    </w:r>
    <w:r>
      <w:rPr>
        <w:rFonts w:ascii="Gill Sans" w:eastAsia="Gill Sans" w:hAnsi="Gill Sans" w:cs="Gill Sans"/>
        <w:color w:val="9D9FA2"/>
        <w:sz w:val="18"/>
        <w:szCs w:val="18"/>
      </w:rPr>
      <w:fldChar w:fldCharType="end"/>
    </w:r>
    <w:r>
      <w:rPr>
        <w:rFonts w:ascii="Gill Sans" w:eastAsia="Gill Sans" w:hAnsi="Gill Sans" w:cs="Gill Sans"/>
        <w:color w:val="9D9FA2"/>
        <w:sz w:val="18"/>
        <w:szCs w:val="18"/>
      </w:rPr>
      <w:t xml:space="preserve"> / </w:t>
    </w:r>
    <w:r>
      <w:rPr>
        <w:rFonts w:ascii="Gill Sans" w:eastAsia="Gill Sans" w:hAnsi="Gill Sans" w:cs="Gill Sans"/>
        <w:color w:val="9D9FA2"/>
        <w:sz w:val="18"/>
        <w:szCs w:val="18"/>
      </w:rPr>
      <w:fldChar w:fldCharType="begin"/>
    </w:r>
    <w:r>
      <w:rPr>
        <w:rFonts w:ascii="Gill Sans" w:eastAsia="Gill Sans" w:hAnsi="Gill Sans" w:cs="Gill Sans"/>
        <w:color w:val="9D9FA2"/>
        <w:sz w:val="18"/>
        <w:szCs w:val="18"/>
      </w:rPr>
      <w:instrText>NUMPAGES</w:instrText>
    </w:r>
    <w:r>
      <w:rPr>
        <w:rFonts w:ascii="Gill Sans" w:eastAsia="Gill Sans" w:hAnsi="Gill Sans" w:cs="Gill Sans"/>
        <w:color w:val="9D9FA2"/>
        <w:sz w:val="18"/>
        <w:szCs w:val="18"/>
      </w:rPr>
      <w:fldChar w:fldCharType="separate"/>
    </w:r>
    <w:r w:rsidR="00F228B0">
      <w:rPr>
        <w:rFonts w:ascii="Gill Sans" w:eastAsia="Gill Sans" w:hAnsi="Gill Sans" w:cs="Gill Sans"/>
        <w:noProof/>
        <w:color w:val="9D9FA2"/>
        <w:sz w:val="18"/>
        <w:szCs w:val="18"/>
      </w:rPr>
      <w:t>8</w:t>
    </w:r>
    <w:r>
      <w:rPr>
        <w:rFonts w:ascii="Gill Sans" w:eastAsia="Gill Sans" w:hAnsi="Gill Sans" w:cs="Gill Sans"/>
        <w:color w:val="9D9FA2"/>
        <w:sz w:val="18"/>
        <w:szCs w:val="18"/>
      </w:rPr>
      <w:fldChar w:fldCharType="end"/>
    </w:r>
    <w:r>
      <w:rPr>
        <w:rFonts w:ascii="Gill Sans" w:eastAsia="Gill Sans" w:hAnsi="Gill Sans" w:cs="Gill Sans"/>
        <w:color w:val="9D9FA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067" w14:textId="48B77782" w:rsidR="008C3F6A" w:rsidRDefault="00A91CD6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rPr>
        <w:rFonts w:ascii="Gill Sans" w:eastAsia="Gill Sans" w:hAnsi="Gill Sans" w:cs="Gill Sans"/>
        <w:color w:val="9D9FA2"/>
        <w:sz w:val="18"/>
        <w:szCs w:val="18"/>
      </w:rPr>
    </w:pPr>
    <w:r>
      <w:rPr>
        <w:rFonts w:ascii="Gill Sans" w:eastAsia="Gill Sans" w:hAnsi="Gill Sans" w:cs="Gill Sans"/>
        <w:color w:val="9D9FA2"/>
        <w:sz w:val="18"/>
        <w:szCs w:val="18"/>
      </w:rPr>
      <w:t xml:space="preserve">     </w:t>
    </w:r>
    <w:r>
      <w:rPr>
        <w:rFonts w:ascii="Gill Sans" w:eastAsia="Gill Sans" w:hAnsi="Gill Sans" w:cs="Gill Sans"/>
        <w:color w:val="9D9FA2"/>
        <w:sz w:val="18"/>
        <w:szCs w:val="18"/>
      </w:rPr>
      <w:tab/>
    </w:r>
    <w:r>
      <w:rPr>
        <w:rFonts w:ascii="Gill Sans" w:eastAsia="Gill Sans" w:hAnsi="Gill Sans" w:cs="Gill Sans"/>
        <w:color w:val="9D9FA2"/>
        <w:sz w:val="18"/>
        <w:szCs w:val="18"/>
      </w:rPr>
      <w:fldChar w:fldCharType="begin"/>
    </w:r>
    <w:r>
      <w:rPr>
        <w:rFonts w:ascii="Gill Sans" w:eastAsia="Gill Sans" w:hAnsi="Gill Sans" w:cs="Gill Sans"/>
        <w:color w:val="9D9FA2"/>
        <w:sz w:val="18"/>
        <w:szCs w:val="18"/>
      </w:rPr>
      <w:instrText>PAGE</w:instrText>
    </w:r>
    <w:r>
      <w:rPr>
        <w:rFonts w:ascii="Gill Sans" w:eastAsia="Gill Sans" w:hAnsi="Gill Sans" w:cs="Gill Sans"/>
        <w:color w:val="9D9FA2"/>
        <w:sz w:val="18"/>
        <w:szCs w:val="18"/>
      </w:rPr>
      <w:fldChar w:fldCharType="separate"/>
    </w:r>
    <w:r w:rsidR="00F228B0">
      <w:rPr>
        <w:rFonts w:ascii="Gill Sans" w:eastAsia="Gill Sans" w:hAnsi="Gill Sans" w:cs="Gill Sans"/>
        <w:noProof/>
        <w:color w:val="9D9FA2"/>
        <w:sz w:val="18"/>
        <w:szCs w:val="18"/>
      </w:rPr>
      <w:t>1</w:t>
    </w:r>
    <w:r>
      <w:rPr>
        <w:rFonts w:ascii="Gill Sans" w:eastAsia="Gill Sans" w:hAnsi="Gill Sans" w:cs="Gill Sans"/>
        <w:color w:val="9D9FA2"/>
        <w:sz w:val="18"/>
        <w:szCs w:val="18"/>
      </w:rPr>
      <w:fldChar w:fldCharType="end"/>
    </w:r>
    <w:r>
      <w:rPr>
        <w:rFonts w:ascii="Gill Sans" w:eastAsia="Gill Sans" w:hAnsi="Gill Sans" w:cs="Gill Sans"/>
        <w:color w:val="9D9FA2"/>
        <w:sz w:val="18"/>
        <w:szCs w:val="18"/>
      </w:rPr>
      <w:t xml:space="preserve"> / </w:t>
    </w:r>
    <w:r>
      <w:rPr>
        <w:rFonts w:ascii="Gill Sans" w:eastAsia="Gill Sans" w:hAnsi="Gill Sans" w:cs="Gill Sans"/>
        <w:color w:val="9D9FA2"/>
        <w:sz w:val="18"/>
        <w:szCs w:val="18"/>
      </w:rPr>
      <w:fldChar w:fldCharType="begin"/>
    </w:r>
    <w:r>
      <w:rPr>
        <w:rFonts w:ascii="Gill Sans" w:eastAsia="Gill Sans" w:hAnsi="Gill Sans" w:cs="Gill Sans"/>
        <w:color w:val="9D9FA2"/>
        <w:sz w:val="18"/>
        <w:szCs w:val="18"/>
      </w:rPr>
      <w:instrText>NUMPAGES</w:instrText>
    </w:r>
    <w:r>
      <w:rPr>
        <w:rFonts w:ascii="Gill Sans" w:eastAsia="Gill Sans" w:hAnsi="Gill Sans" w:cs="Gill Sans"/>
        <w:color w:val="9D9FA2"/>
        <w:sz w:val="18"/>
        <w:szCs w:val="18"/>
      </w:rPr>
      <w:fldChar w:fldCharType="separate"/>
    </w:r>
    <w:r w:rsidR="00F228B0">
      <w:rPr>
        <w:rFonts w:ascii="Gill Sans" w:eastAsia="Gill Sans" w:hAnsi="Gill Sans" w:cs="Gill Sans"/>
        <w:noProof/>
        <w:color w:val="9D9FA2"/>
        <w:sz w:val="18"/>
        <w:szCs w:val="18"/>
      </w:rPr>
      <w:t>8</w:t>
    </w:r>
    <w:r>
      <w:rPr>
        <w:rFonts w:ascii="Gill Sans" w:eastAsia="Gill Sans" w:hAnsi="Gill Sans" w:cs="Gill Sans"/>
        <w:color w:val="9D9FA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96F0" w14:textId="77777777" w:rsidR="00D921F0" w:rsidRDefault="00D921F0">
      <w:pPr>
        <w:spacing w:after="0"/>
      </w:pPr>
      <w:r>
        <w:separator/>
      </w:r>
    </w:p>
  </w:footnote>
  <w:footnote w:type="continuationSeparator" w:id="0">
    <w:p w14:paraId="76AC3B3A" w14:textId="77777777" w:rsidR="00D921F0" w:rsidRDefault="00D921F0">
      <w:pPr>
        <w:spacing w:after="0"/>
      </w:pPr>
      <w:r>
        <w:continuationSeparator/>
      </w:r>
    </w:p>
  </w:footnote>
  <w:footnote w:id="1">
    <w:p w14:paraId="682E5CFD" w14:textId="0B8A1C68" w:rsidR="003138A7" w:rsidRPr="003138A7" w:rsidRDefault="003138A7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 w:rsidRPr="003F7875">
        <w:rPr>
          <w:lang w:val="ru-RU"/>
        </w:rPr>
        <w:t xml:space="preserve"> </w:t>
      </w:r>
      <w:r>
        <w:rPr>
          <w:rFonts w:asciiTheme="minorHAnsi" w:hAnsiTheme="minorHAnsi"/>
          <w:lang w:val="mk-MK"/>
        </w:rPr>
        <w:t>Договорот за соработка ќе биде подготвен врз основа на предложениот бизнис модел од операторот, во соработка со ЛАГ-от и МРР</w:t>
      </w:r>
      <w:r w:rsidR="002C17ED">
        <w:rPr>
          <w:rFonts w:asciiTheme="minorHAnsi" w:hAnsiTheme="minorHAnsi"/>
          <w:lang w:val="mk-MK"/>
        </w:rPr>
        <w:t xml:space="preserve"> на СМ</w:t>
      </w:r>
      <w:r>
        <w:rPr>
          <w:rFonts w:asciiTheme="minorHAnsi" w:hAnsiTheme="minorHAnsi"/>
          <w:lang w:val="mk-MK"/>
        </w:rPr>
        <w:t xml:space="preserve">, пред потпишувањето на </w:t>
      </w:r>
      <w:r w:rsidR="001C6E11">
        <w:rPr>
          <w:rFonts w:asciiTheme="minorHAnsi" w:hAnsiTheme="minorHAnsi"/>
          <w:lang w:val="mk-MK"/>
        </w:rPr>
        <w:t>официјалниот</w:t>
      </w:r>
      <w:r>
        <w:rPr>
          <w:rFonts w:asciiTheme="minorHAnsi" w:hAnsiTheme="minorHAnsi"/>
          <w:lang w:val="mk-MK"/>
        </w:rPr>
        <w:t xml:space="preserve"> Договор за соработка за </w:t>
      </w:r>
      <w:r w:rsidR="002C17ED">
        <w:rPr>
          <w:rFonts w:asciiTheme="minorHAnsi" w:hAnsiTheme="minorHAnsi"/>
          <w:lang w:val="mk-MK"/>
        </w:rPr>
        <w:t>Центарот за преработка н</w:t>
      </w:r>
      <w:r>
        <w:rPr>
          <w:rFonts w:asciiTheme="minorHAnsi" w:hAnsiTheme="minorHAnsi"/>
          <w:lang w:val="mk-MK"/>
        </w:rPr>
        <w:t>а храна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5EAE" w14:textId="77777777" w:rsidR="008C3F6A" w:rsidRDefault="008C3F6A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3A0"/>
    <w:multiLevelType w:val="multilevel"/>
    <w:tmpl w:val="3C62012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647B5E"/>
    <w:multiLevelType w:val="multilevel"/>
    <w:tmpl w:val="513CCBFA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naslov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naslov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naslov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F445E9"/>
    <w:multiLevelType w:val="multilevel"/>
    <w:tmpl w:val="966E8908"/>
    <w:lvl w:ilvl="0">
      <w:start w:val="1"/>
      <w:numFmt w:val="bullet"/>
      <w:pStyle w:val="Heading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ing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ing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Heading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Heading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Heading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Heading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Heading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Heading9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F943C1"/>
    <w:multiLevelType w:val="multilevel"/>
    <w:tmpl w:val="0102F354"/>
    <w:lvl w:ilvl="0">
      <w:start w:val="1"/>
      <w:numFmt w:val="decimal"/>
      <w:pStyle w:val="Bullet1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A39"/>
    <w:multiLevelType w:val="multilevel"/>
    <w:tmpl w:val="9662B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56D65"/>
    <w:multiLevelType w:val="multilevel"/>
    <w:tmpl w:val="151ADDA4"/>
    <w:lvl w:ilvl="0">
      <w:start w:val="1"/>
      <w:numFmt w:val="decimal"/>
      <w:pStyle w:val="Palladium-FeatureFigu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4F34B2"/>
    <w:multiLevelType w:val="multilevel"/>
    <w:tmpl w:val="9FDEA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0392A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97276F4"/>
    <w:multiLevelType w:val="multilevel"/>
    <w:tmpl w:val="6984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1F8F"/>
    <w:multiLevelType w:val="hybridMultilevel"/>
    <w:tmpl w:val="8480C72E"/>
    <w:lvl w:ilvl="0" w:tplc="B3A08D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0AEE"/>
    <w:multiLevelType w:val="multilevel"/>
    <w:tmpl w:val="F4D67E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301B35"/>
    <w:multiLevelType w:val="hybridMultilevel"/>
    <w:tmpl w:val="E15061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58335F"/>
    <w:multiLevelType w:val="multilevel"/>
    <w:tmpl w:val="F07A1DC0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3D1F7E"/>
    <w:multiLevelType w:val="multilevel"/>
    <w:tmpl w:val="C012F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F57CC4"/>
    <w:multiLevelType w:val="multilevel"/>
    <w:tmpl w:val="69B4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6634D6"/>
    <w:multiLevelType w:val="multilevel"/>
    <w:tmpl w:val="704ECC7E"/>
    <w:lvl w:ilvl="0">
      <w:start w:val="1"/>
      <w:numFmt w:val="bullet"/>
      <w:pStyle w:val="Head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Head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004319"/>
    <w:multiLevelType w:val="multilevel"/>
    <w:tmpl w:val="ABDA44D4"/>
    <w:lvl w:ilvl="0">
      <w:start w:val="1"/>
      <w:numFmt w:val="decimal"/>
      <w:pStyle w:val="Bullet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5607"/>
    <w:multiLevelType w:val="multilevel"/>
    <w:tmpl w:val="3FCCC4D8"/>
    <w:lvl w:ilvl="0">
      <w:start w:val="1"/>
      <w:numFmt w:val="decimal"/>
      <w:pStyle w:val="Palladium-Numbering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371BF"/>
    <w:multiLevelType w:val="multilevel"/>
    <w:tmpl w:val="FBA6B55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166437579">
    <w:abstractNumId w:val="3"/>
  </w:num>
  <w:num w:numId="2" w16cid:durableId="1167792861">
    <w:abstractNumId w:val="15"/>
  </w:num>
  <w:num w:numId="3" w16cid:durableId="1011224431">
    <w:abstractNumId w:val="16"/>
  </w:num>
  <w:num w:numId="4" w16cid:durableId="901795479">
    <w:abstractNumId w:val="5"/>
  </w:num>
  <w:num w:numId="5" w16cid:durableId="1088186166">
    <w:abstractNumId w:val="0"/>
  </w:num>
  <w:num w:numId="6" w16cid:durableId="1212576905">
    <w:abstractNumId w:val="6"/>
  </w:num>
  <w:num w:numId="7" w16cid:durableId="10224670">
    <w:abstractNumId w:val="13"/>
  </w:num>
  <w:num w:numId="8" w16cid:durableId="78722238">
    <w:abstractNumId w:val="14"/>
  </w:num>
  <w:num w:numId="9" w16cid:durableId="1347443938">
    <w:abstractNumId w:val="9"/>
  </w:num>
  <w:num w:numId="10" w16cid:durableId="1783843717">
    <w:abstractNumId w:val="12"/>
  </w:num>
  <w:num w:numId="11" w16cid:durableId="1805394062">
    <w:abstractNumId w:val="2"/>
  </w:num>
  <w:num w:numId="12" w16cid:durableId="2106534975">
    <w:abstractNumId w:val="11"/>
  </w:num>
  <w:num w:numId="13" w16cid:durableId="886529530">
    <w:abstractNumId w:val="17"/>
  </w:num>
  <w:num w:numId="14" w16cid:durableId="2076002922">
    <w:abstractNumId w:val="7"/>
  </w:num>
  <w:num w:numId="15" w16cid:durableId="1428502446">
    <w:abstractNumId w:val="4"/>
  </w:num>
  <w:num w:numId="16" w16cid:durableId="1772554224">
    <w:abstractNumId w:val="1"/>
  </w:num>
  <w:num w:numId="17" w16cid:durableId="175285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5953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9840848">
    <w:abstractNumId w:val="2"/>
  </w:num>
  <w:num w:numId="20" w16cid:durableId="1246695243">
    <w:abstractNumId w:val="2"/>
  </w:num>
  <w:num w:numId="21" w16cid:durableId="588513549">
    <w:abstractNumId w:val="2"/>
  </w:num>
  <w:num w:numId="22" w16cid:durableId="15890682">
    <w:abstractNumId w:val="2"/>
  </w:num>
  <w:num w:numId="23" w16cid:durableId="2136366009">
    <w:abstractNumId w:val="2"/>
  </w:num>
  <w:num w:numId="24" w16cid:durableId="542861943">
    <w:abstractNumId w:val="2"/>
  </w:num>
  <w:num w:numId="25" w16cid:durableId="6174399">
    <w:abstractNumId w:val="2"/>
  </w:num>
  <w:num w:numId="26" w16cid:durableId="1465079143">
    <w:abstractNumId w:val="2"/>
  </w:num>
  <w:num w:numId="27" w16cid:durableId="1863468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4859102">
    <w:abstractNumId w:val="8"/>
  </w:num>
  <w:num w:numId="29" w16cid:durableId="3672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6A"/>
    <w:rsid w:val="00083D1F"/>
    <w:rsid w:val="000A34AE"/>
    <w:rsid w:val="000E44AB"/>
    <w:rsid w:val="000F7699"/>
    <w:rsid w:val="00147A48"/>
    <w:rsid w:val="00165C97"/>
    <w:rsid w:val="001A046E"/>
    <w:rsid w:val="001C6E11"/>
    <w:rsid w:val="00215531"/>
    <w:rsid w:val="00236667"/>
    <w:rsid w:val="00242B82"/>
    <w:rsid w:val="0026372B"/>
    <w:rsid w:val="0028109E"/>
    <w:rsid w:val="002963FD"/>
    <w:rsid w:val="002B5411"/>
    <w:rsid w:val="002C17ED"/>
    <w:rsid w:val="002C4710"/>
    <w:rsid w:val="002F45EB"/>
    <w:rsid w:val="00303D0D"/>
    <w:rsid w:val="003138A7"/>
    <w:rsid w:val="00314041"/>
    <w:rsid w:val="00320A81"/>
    <w:rsid w:val="00353D20"/>
    <w:rsid w:val="00391B31"/>
    <w:rsid w:val="003A5D8C"/>
    <w:rsid w:val="003A68B5"/>
    <w:rsid w:val="003B5766"/>
    <w:rsid w:val="003C5B36"/>
    <w:rsid w:val="003F7875"/>
    <w:rsid w:val="0041290E"/>
    <w:rsid w:val="00414B42"/>
    <w:rsid w:val="00426F42"/>
    <w:rsid w:val="00427EBE"/>
    <w:rsid w:val="00434D9B"/>
    <w:rsid w:val="004A76FD"/>
    <w:rsid w:val="00593881"/>
    <w:rsid w:val="00670545"/>
    <w:rsid w:val="00675A96"/>
    <w:rsid w:val="006B0EAA"/>
    <w:rsid w:val="006D1BF2"/>
    <w:rsid w:val="006E69AC"/>
    <w:rsid w:val="006F4926"/>
    <w:rsid w:val="0073050D"/>
    <w:rsid w:val="007C498F"/>
    <w:rsid w:val="00805880"/>
    <w:rsid w:val="008363B1"/>
    <w:rsid w:val="00866C6D"/>
    <w:rsid w:val="008C3F6A"/>
    <w:rsid w:val="008D1D0A"/>
    <w:rsid w:val="008E1BA4"/>
    <w:rsid w:val="008E6F8C"/>
    <w:rsid w:val="0095159A"/>
    <w:rsid w:val="009756AA"/>
    <w:rsid w:val="009F7303"/>
    <w:rsid w:val="00A65486"/>
    <w:rsid w:val="00A72726"/>
    <w:rsid w:val="00A91CD6"/>
    <w:rsid w:val="00AA27D2"/>
    <w:rsid w:val="00AA5ACD"/>
    <w:rsid w:val="00AC3281"/>
    <w:rsid w:val="00B22901"/>
    <w:rsid w:val="00B62BE5"/>
    <w:rsid w:val="00B876FC"/>
    <w:rsid w:val="00BA56B7"/>
    <w:rsid w:val="00BC56E9"/>
    <w:rsid w:val="00BD6307"/>
    <w:rsid w:val="00C223FB"/>
    <w:rsid w:val="00C43D10"/>
    <w:rsid w:val="00C44FC7"/>
    <w:rsid w:val="00CB2E9D"/>
    <w:rsid w:val="00D26E51"/>
    <w:rsid w:val="00D41F0F"/>
    <w:rsid w:val="00D6073B"/>
    <w:rsid w:val="00D8321F"/>
    <w:rsid w:val="00D921F0"/>
    <w:rsid w:val="00D9623F"/>
    <w:rsid w:val="00DA020C"/>
    <w:rsid w:val="00DC493C"/>
    <w:rsid w:val="00E00AC5"/>
    <w:rsid w:val="00EC294A"/>
    <w:rsid w:val="00ED1C8D"/>
    <w:rsid w:val="00F03B7D"/>
    <w:rsid w:val="00F10658"/>
    <w:rsid w:val="00F14664"/>
    <w:rsid w:val="00F165E8"/>
    <w:rsid w:val="00F17184"/>
    <w:rsid w:val="00F21ACB"/>
    <w:rsid w:val="00F228B0"/>
    <w:rsid w:val="00F6464C"/>
    <w:rsid w:val="00FD4641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B6E7"/>
  <w15:docId w15:val="{B08268D4-C06C-419E-8EA0-4F56960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mk-M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1A"/>
    <w:rPr>
      <w:rFonts w:ascii="Gill Sans MT" w:eastAsia="Cabin" w:hAnsi="Gill Sans MT" w:cs="Cabin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B44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A0B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A0B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A0B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A0B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A0B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315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/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4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9"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</w:style>
  <w:style w:type="paragraph" w:customStyle="1" w:styleId="Head1">
    <w:name w:val="Head1"/>
    <w:basedOn w:val="Heading1"/>
    <w:link w:val="Head1Char"/>
    <w:qFormat/>
    <w:rsid w:val="00413968"/>
    <w:pPr>
      <w:numPr>
        <w:numId w:val="8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8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val="en-US"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val="en-US"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val="en-US" w:eastAsia="en-US"/>
    </w:rPr>
  </w:style>
  <w:style w:type="numbering" w:customStyle="1" w:styleId="Style2">
    <w:name w:val="Style2"/>
    <w:uiPriority w:val="99"/>
    <w:locked/>
    <w:rsid w:val="001C78CA"/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8"/>
      </w:numPr>
      <w:suppressAutoHyphens/>
      <w:spacing w:before="220" w:after="220"/>
      <w:ind w:left="851" w:hanging="851"/>
      <w:outlineLvl w:val="3"/>
    </w:pPr>
    <w:rPr>
      <w:rFonts w:cs="Arial"/>
      <w:bCs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ascii="Gill Sans MT" w:eastAsia="Cabin" w:hAnsi="Gill Sans MT" w:cs="Arial"/>
      <w:bCs/>
      <w:color w:val="000000"/>
      <w:sz w:val="22"/>
      <w:szCs w:val="30"/>
      <w:lang w:val="en-US" w:eastAsia="en-US"/>
    </w:rPr>
  </w:style>
  <w:style w:type="numbering" w:customStyle="1" w:styleId="HeadList1">
    <w:name w:val="Head List 1"/>
    <w:uiPriority w:val="99"/>
    <w:rsid w:val="001076BC"/>
  </w:style>
  <w:style w:type="numbering" w:customStyle="1" w:styleId="HeadList3">
    <w:name w:val="Head List 3"/>
    <w:uiPriority w:val="99"/>
    <w:rsid w:val="00FC4258"/>
  </w:style>
  <w:style w:type="numbering" w:customStyle="1" w:styleId="HeadList4">
    <w:name w:val="Head List 4"/>
    <w:uiPriority w:val="99"/>
    <w:rsid w:val="00DD7E0C"/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after="0"/>
    </w:pPr>
  </w:style>
  <w:style w:type="paragraph" w:styleId="NoSpacing">
    <w:name w:val="No Spacing"/>
    <w:link w:val="NoSpacingChar"/>
    <w:uiPriority w:val="99"/>
    <w:qFormat/>
    <w:rsid w:val="00200EF5"/>
    <w:pPr>
      <w:spacing w:after="0"/>
    </w:pPr>
    <w:rPr>
      <w:rFonts w:eastAsiaTheme="minorHAnsi" w:cstheme="minorBidi"/>
      <w:color w:val="000000" w:themeColor="text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rsid w:val="00324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71A"/>
    <w:rPr>
      <w:rFonts w:ascii="Gill Sans MT" w:eastAsia="Cabin" w:hAnsi="Gill Sans MT" w:cs="Cabin"/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32471A"/>
    <w:rPr>
      <w:rFonts w:cs="Times New Roman"/>
      <w:sz w:val="16"/>
      <w:szCs w:val="16"/>
    </w:rPr>
  </w:style>
  <w:style w:type="paragraph" w:styleId="ListParagraph">
    <w:name w:val="List Paragraph"/>
    <w:aliases w:val="Paragraph,Párrafo de lista"/>
    <w:basedOn w:val="Normal"/>
    <w:link w:val="ListParagraphChar"/>
    <w:uiPriority w:val="34"/>
    <w:qFormat/>
    <w:rsid w:val="0032471A"/>
    <w:pPr>
      <w:ind w:left="720"/>
      <w:contextualSpacing/>
    </w:pPr>
  </w:style>
  <w:style w:type="paragraph" w:customStyle="1" w:styleId="Default">
    <w:name w:val="Default"/>
    <w:rsid w:val="0032471A"/>
    <w:pPr>
      <w:autoSpaceDE w:val="0"/>
      <w:autoSpaceDN w:val="0"/>
      <w:adjustRightInd w:val="0"/>
      <w:spacing w:after="0"/>
    </w:pPr>
    <w:rPr>
      <w:rFonts w:eastAsia="Cabin" w:cs="Arial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DA6"/>
    <w:rPr>
      <w:rFonts w:ascii="Gill Sans MT" w:eastAsia="Cabin" w:hAnsi="Gill Sans MT" w:cs="Cabin"/>
      <w:b/>
      <w:bCs/>
      <w:color w:val="000000"/>
      <w:lang w:val="en-US" w:eastAsia="en-US"/>
    </w:rPr>
  </w:style>
  <w:style w:type="paragraph" w:styleId="ListBullet">
    <w:name w:val="List Bullet"/>
    <w:basedOn w:val="Normal"/>
    <w:uiPriority w:val="99"/>
    <w:unhideWhenUsed/>
    <w:qFormat/>
    <w:rsid w:val="003C6FC6"/>
    <w:pPr>
      <w:numPr>
        <w:numId w:val="12"/>
      </w:numPr>
      <w:spacing w:before="60" w:after="60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ListBullet2">
    <w:name w:val="List Bullet 2"/>
    <w:basedOn w:val="ListBullet"/>
    <w:uiPriority w:val="99"/>
    <w:unhideWhenUsed/>
    <w:qFormat/>
    <w:rsid w:val="003C6FC6"/>
    <w:pPr>
      <w:numPr>
        <w:ilvl w:val="1"/>
      </w:numPr>
    </w:pPr>
  </w:style>
  <w:style w:type="character" w:customStyle="1" w:styleId="ListParagraphChar">
    <w:name w:val="List Paragraph Char"/>
    <w:aliases w:val="Paragraph Char,Párrafo de lista Char"/>
    <w:link w:val="ListParagraph"/>
    <w:uiPriority w:val="34"/>
    <w:locked/>
    <w:rsid w:val="003C6FC6"/>
    <w:rPr>
      <w:rFonts w:ascii="Gill Sans MT" w:eastAsia="Cabin" w:hAnsi="Gill Sans MT" w:cs="Cabin"/>
      <w:color w:val="000000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C6FC6"/>
    <w:rPr>
      <w:b/>
      <w:i/>
      <w:iCs/>
      <w:color w:val="D52B1E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9B2"/>
    <w:rPr>
      <w:color w:val="605E5C"/>
      <w:shd w:val="clear" w:color="auto" w:fill="E1DFDD"/>
    </w:rPr>
  </w:style>
  <w:style w:type="character" w:styleId="FootnoteReference">
    <w:name w:val="footnote reference"/>
    <w:aliases w:val="ftref,Ref,de nota al pie,Footnotes refss,Footnote Reference1,16 Point,Superscript 6 Point,Times 10 Point,Exposant 3 Point,Footnote symbol,Footnote reference number,EN Footnote Reference,note TESI,сноска,Знак сноски-FN,Знак сноски 1,f"/>
    <w:uiPriority w:val="99"/>
    <w:qFormat/>
    <w:rsid w:val="008E61BC"/>
    <w:rPr>
      <w:vertAlign w:val="superscript"/>
    </w:rPr>
  </w:style>
  <w:style w:type="paragraph" w:customStyle="1" w:styleId="TableBullet">
    <w:name w:val="Table Bullet"/>
    <w:basedOn w:val="Normal"/>
    <w:link w:val="TableBulletChar"/>
    <w:qFormat/>
    <w:rsid w:val="008E61BC"/>
    <w:pPr>
      <w:numPr>
        <w:numId w:val="16"/>
      </w:numPr>
      <w:spacing w:after="0"/>
      <w:contextualSpacing/>
      <w:jc w:val="left"/>
    </w:pPr>
    <w:rPr>
      <w:rFonts w:asciiTheme="minorHAnsi" w:eastAsiaTheme="minorHAnsi" w:hAnsiTheme="minorHAnsi" w:cstheme="minorBidi"/>
      <w:color w:val="auto"/>
      <w:sz w:val="18"/>
      <w:lang w:val="en-GB"/>
    </w:rPr>
  </w:style>
  <w:style w:type="character" w:customStyle="1" w:styleId="TableBulletChar">
    <w:name w:val="Table Bullet Char"/>
    <w:basedOn w:val="DefaultParagraphFont"/>
    <w:link w:val="TableBullet"/>
    <w:rsid w:val="008E61BC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8E61BC"/>
    <w:rPr>
      <w:rFonts w:eastAsiaTheme="minorHAnsi" w:cstheme="minorBidi"/>
      <w:color w:val="000000" w:themeColor="text1"/>
      <w:szCs w:val="22"/>
      <w:lang w:val="en-US" w:eastAsia="en-US"/>
    </w:rPr>
  </w:style>
  <w:style w:type="paragraph" w:customStyle="1" w:styleId="TableBullet2">
    <w:name w:val="Table Bullet 2"/>
    <w:basedOn w:val="TableBullet"/>
    <w:link w:val="TableBullet2Char"/>
    <w:qFormat/>
    <w:rsid w:val="007A76BE"/>
    <w:pPr>
      <w:numPr>
        <w:numId w:val="0"/>
      </w:numPr>
      <w:tabs>
        <w:tab w:val="num" w:pos="720"/>
      </w:tabs>
      <w:ind w:left="720" w:hanging="720"/>
    </w:pPr>
  </w:style>
  <w:style w:type="character" w:customStyle="1" w:styleId="TableBullet2Char">
    <w:name w:val="Table Bullet 2 Char"/>
    <w:basedOn w:val="TableBulletChar"/>
    <w:link w:val="TableBullet2"/>
    <w:rsid w:val="007A76BE"/>
    <w:rPr>
      <w:rFonts w:asciiTheme="minorHAnsi" w:eastAsiaTheme="minorHAnsi" w:hAnsiTheme="minorHAnsi" w:cstheme="minorBidi"/>
      <w:sz w:val="18"/>
      <w:szCs w:val="22"/>
      <w:lang w:val="en-GB" w:eastAsia="en-US"/>
    </w:rPr>
  </w:style>
  <w:style w:type="table" w:styleId="GridTable1Light-Accent5">
    <w:name w:val="Grid Table 1 Light Accent 5"/>
    <w:basedOn w:val="TableNormal"/>
    <w:uiPriority w:val="46"/>
    <w:rsid w:val="00C97EA7"/>
    <w:pPr>
      <w:spacing w:after="0"/>
    </w:pPr>
    <w:tblPr>
      <w:tblStyleRowBandSize w:val="1"/>
      <w:tblStyleColBandSize w:val="1"/>
      <w:tblBorders>
        <w:top w:val="single" w:sz="4" w:space="0" w:color="F7899F" w:themeColor="accent5" w:themeTint="66"/>
        <w:left w:val="single" w:sz="4" w:space="0" w:color="F7899F" w:themeColor="accent5" w:themeTint="66"/>
        <w:bottom w:val="single" w:sz="4" w:space="0" w:color="F7899F" w:themeColor="accent5" w:themeTint="66"/>
        <w:right w:val="single" w:sz="4" w:space="0" w:color="F7899F" w:themeColor="accent5" w:themeTint="66"/>
        <w:insideH w:val="single" w:sz="4" w:space="0" w:color="F7899F" w:themeColor="accent5" w:themeTint="66"/>
        <w:insideV w:val="single" w:sz="4" w:space="0" w:color="F789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4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4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D41480"/>
    <w:pPr>
      <w:spacing w:after="0" w:line="276" w:lineRule="auto"/>
      <w:jc w:val="left"/>
    </w:pPr>
    <w:rPr>
      <w:rFonts w:ascii="Times New Roman" w:eastAsiaTheme="minorHAnsi" w:hAnsi="Times New Roman" w:cstheme="minorBidi"/>
      <w:color w:val="auto"/>
      <w:sz w:val="24"/>
      <w:szCs w:val="24"/>
      <w:lang w:val="hr-HR" w:eastAsia="hr-HR"/>
    </w:rPr>
  </w:style>
  <w:style w:type="table" w:styleId="GridTable1Light">
    <w:name w:val="Grid Table 1 Light"/>
    <w:basedOn w:val="TableNormal"/>
    <w:uiPriority w:val="46"/>
    <w:rsid w:val="002A3BD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2F3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7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754"/>
    <w:rPr>
      <w:rFonts w:ascii="Gill Sans MT" w:eastAsia="Cabin" w:hAnsi="Gill Sans MT" w:cs="Cabin"/>
      <w:color w:val="000000"/>
      <w:lang w:val="en-US" w:eastAsia="en-US"/>
    </w:rPr>
  </w:style>
  <w:style w:type="paragraph" w:customStyle="1" w:styleId="1naslov">
    <w:name w:val="1naslov"/>
    <w:basedOn w:val="ListParagraph"/>
    <w:qFormat/>
    <w:rsid w:val="001830A4"/>
    <w:pPr>
      <w:keepNext/>
      <w:tabs>
        <w:tab w:val="num" w:pos="720"/>
      </w:tabs>
      <w:spacing w:before="240" w:after="60"/>
      <w:ind w:left="284" w:hanging="284"/>
      <w:jc w:val="left"/>
      <w:outlineLvl w:val="0"/>
    </w:pPr>
    <w:rPr>
      <w:rFonts w:ascii="Arial" w:eastAsia="Times New Roman" w:hAnsi="Arial" w:cs="Arial"/>
      <w:b/>
      <w:color w:val="auto"/>
      <w:spacing w:val="-6"/>
      <w:kern w:val="28"/>
      <w:lang w:val="mk-MK" w:eastAsia="en-GB"/>
    </w:rPr>
  </w:style>
  <w:style w:type="paragraph" w:customStyle="1" w:styleId="2naslov">
    <w:name w:val="2naslov"/>
    <w:basedOn w:val="ListParagraph"/>
    <w:qFormat/>
    <w:rsid w:val="001830A4"/>
    <w:pPr>
      <w:numPr>
        <w:ilvl w:val="1"/>
        <w:numId w:val="18"/>
      </w:numPr>
      <w:tabs>
        <w:tab w:val="left" w:pos="426"/>
      </w:tabs>
      <w:spacing w:after="0"/>
      <w:ind w:left="709"/>
      <w:outlineLvl w:val="1"/>
    </w:pPr>
    <w:rPr>
      <w:rFonts w:ascii="Arial" w:eastAsia="Times New Roman" w:hAnsi="Arial" w:cs="Arial"/>
      <w:b/>
      <w:bCs/>
      <w:color w:val="auto"/>
      <w:lang w:val="mk-MK"/>
    </w:rPr>
  </w:style>
  <w:style w:type="paragraph" w:customStyle="1" w:styleId="3naslov">
    <w:name w:val="3naslov"/>
    <w:basedOn w:val="Heading3"/>
    <w:qFormat/>
    <w:rsid w:val="001830A4"/>
    <w:pPr>
      <w:numPr>
        <w:numId w:val="18"/>
      </w:numPr>
      <w:spacing w:before="0"/>
      <w:ind w:left="426" w:hanging="426"/>
      <w:jc w:val="left"/>
    </w:pPr>
    <w:rPr>
      <w:rFonts w:ascii="Arial" w:eastAsia="Times New Roman" w:hAnsi="Arial" w:cs="Arial"/>
      <w:b/>
      <w:i/>
      <w:color w:val="auto"/>
      <w:sz w:val="22"/>
      <w:szCs w:val="22"/>
    </w:rPr>
  </w:style>
  <w:style w:type="paragraph" w:customStyle="1" w:styleId="4naslov">
    <w:name w:val="4naslov"/>
    <w:basedOn w:val="Normal"/>
    <w:qFormat/>
    <w:rsid w:val="001830A4"/>
    <w:pPr>
      <w:numPr>
        <w:ilvl w:val="3"/>
        <w:numId w:val="18"/>
      </w:numPr>
      <w:shd w:val="clear" w:color="auto" w:fill="FFFFFF"/>
      <w:tabs>
        <w:tab w:val="left" w:pos="851"/>
      </w:tabs>
      <w:spacing w:after="0" w:line="302" w:lineRule="exact"/>
      <w:ind w:left="709" w:hanging="709"/>
      <w:outlineLvl w:val="3"/>
    </w:pPr>
    <w:rPr>
      <w:rFonts w:ascii="Arial" w:eastAsia="Arial Narrow" w:hAnsi="Arial" w:cs="Arial"/>
      <w:i/>
      <w:iCs/>
      <w:color w:val="auto"/>
      <w:sz w:val="23"/>
      <w:szCs w:val="23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6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920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F65D0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51A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b/>
      </w:rPr>
      <w:tblPr/>
      <w:tcPr>
        <w:tcBorders>
          <w:bottom w:val="single" w:sz="12" w:space="0" w:color="F34F70"/>
        </w:tcBorders>
      </w:tcPr>
    </w:tblStylePr>
    <w:tblStylePr w:type="lastRow">
      <w:rPr>
        <w:b/>
      </w:rPr>
      <w:tblPr/>
      <w:tcPr>
        <w:tcBorders>
          <w:top w:val="single" w:sz="4" w:space="0" w:color="F34F7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426F42"/>
    <w:pPr>
      <w:spacing w:after="0"/>
      <w:jc w:val="left"/>
    </w:pPr>
    <w:rPr>
      <w:rFonts w:ascii="Gill Sans MT" w:eastAsia="Cabin" w:hAnsi="Gill Sans MT" w:cs="Cabi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2FHEpIFj8YccLkjTeT35IiULA==">AMUW2mXld0DZaIRsbkrBNmwyuOBk3ZOrarEXoh6qXMj28NiJ625rRtCqK597PVs6dt5Kr7pzQE3nji5Rw9t98uL+yL8AGvdbvbPmAD69q1eE7luQKwxVKRluliVbqc66YxAxrrz844tl</go:docsCustomData>
</go:gDocsCustomXmlDataStorage>
</file>

<file path=customXml/itemProps1.xml><?xml version="1.0" encoding="utf-8"?>
<ds:datastoreItem xmlns:ds="http://schemas.openxmlformats.org/officeDocument/2006/customXml" ds:itemID="{79A37062-8D12-4BC0-98A4-258B59F63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Karic, Dina</dc:creator>
  <cp:lastModifiedBy>Bojan Kitanovikj</cp:lastModifiedBy>
  <cp:revision>21</cp:revision>
  <dcterms:created xsi:type="dcterms:W3CDTF">2022-06-28T13:40:00Z</dcterms:created>
  <dcterms:modified xsi:type="dcterms:W3CDTF">2022-06-29T10:30:00Z</dcterms:modified>
</cp:coreProperties>
</file>